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cs="宋体"/>
          <w:b/>
          <w:bCs/>
          <w:color w:val="auto"/>
          <w:sz w:val="36"/>
          <w:highlight w:val="none"/>
        </w:rPr>
      </w:pPr>
      <w:r/>
      <w:bookmarkStart w:id="101" w:name="_GoBack"/>
      <w:r/>
      <w:bookmarkEnd w:id="101"/>
      <w:r/>
      <w:r/>
    </w:p>
    <w:p>
      <w:pPr>
        <w:jc w:val="right"/>
        <w:rPr>
          <w:rFonts w:hint="eastAsia" w:ascii="宋体" w:hAnsi="宋体" w:cs="宋体"/>
          <w:b/>
          <w:bCs/>
          <w:color w:val="auto"/>
          <w:sz w:val="36"/>
          <w:highlight w:val="none"/>
        </w:rPr>
      </w:pPr>
      <w:r>
        <w:rPr>
          <w:rFonts w:hint="eastAsia" w:ascii="宋体" w:hAnsi="宋体" w:cs="宋体"/>
          <w:b/>
          <w:bCs/>
          <w:color w:val="auto"/>
          <w:sz w:val="36"/>
          <w:highlight w:val="none"/>
        </w:rPr>
        <w:t xml:space="preserve">编号：</w:t>
      </w:r>
      <w:r>
        <w:rPr>
          <w:rFonts w:hint="eastAsia" w:ascii="宋体" w:hAnsi="宋体" w:cs="宋体"/>
          <w:b/>
          <w:bCs/>
          <w:color w:val="auto"/>
          <w:sz w:val="36"/>
          <w:highlight w:val="none"/>
          <w:lang w:eastAsia="zh-CN"/>
        </w:rPr>
        <w:t xml:space="preserve">JSZC-321000-SWGC-G2025-0237</w:t>
      </w:r>
      <w:r>
        <w:rPr>
          <w:rFonts w:hint="eastAsia" w:ascii="宋体" w:hAnsi="宋体" w:cs="宋体"/>
          <w:b/>
          <w:bCs/>
          <w:color w:val="auto"/>
          <w:sz w:val="36"/>
          <w:highlight w:val="none"/>
        </w:rPr>
        <w:t xml:space="preserve">号</w: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eastAsia="宋体" w:cs="宋体"/>
          <w:b/>
          <w:bCs/>
          <w:color w:val="auto"/>
          <w:sz w:val="36"/>
          <w:highlight w:val="none"/>
          <w:lang w:eastAsia="zh-CN"/>
        </w:rPr>
      </w:pPr>
      <w:r>
        <w:rPr>
          <w:rFonts w:hint="eastAsia" w:ascii="宋体" w:hAnsi="宋体" w:cs="宋体"/>
          <w:b/>
          <w:bCs/>
          <w:color w:val="auto"/>
          <w:sz w:val="36"/>
          <w:highlight w:val="none"/>
          <w:lang w:eastAsia="zh-CN"/>
        </w:rPr>
        <w:t xml:space="preserve">江苏省苏北人民医院智慧病房项目建设（二次）</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公开招标文件</w:t>
      </w:r>
      <w:r/>
    </w:p>
    <w:p>
      <w:pPr>
        <w:pStyle w:val="9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266690" cy="324104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3"/>
                        <a:stretch/>
                      </pic:blipFill>
                      <pic:spPr bwMode="auto">
                        <a:xfrm>
                          <a:off x="0" y="0"/>
                          <a:ext cx="5266690" cy="3241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
                <v:path textboxrect="0,0,0,0"/>
                <v:imagedata r:id="rId13" o:title=""/>
              </v:shape>
            </w:pict>
          </mc:Fallback>
        </mc:AlternateContent>
      </w:r>
      <w:r/>
    </w:p>
    <w:p>
      <w:pPr>
        <w:jc w:val="center"/>
        <w:rPr>
          <w:rFonts w:hint="eastAsia" w:ascii="宋体" w:hAnsi="宋体" w:cs="宋体"/>
          <w:color w:val="auto"/>
          <w:sz w:val="36"/>
          <w:highlight w:val="none"/>
        </w:rPr>
      </w:pPr>
      <w:r>
        <w:rPr>
          <w:rFonts w:hint="eastAsia" w:ascii="宋体" w:hAnsi="宋体" w:cs="宋体"/>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江苏苏维工程管理有限公司</w:t>
      </w:r>
      <w:r/>
    </w:p>
    <w:p>
      <w:pPr>
        <w:jc w:val="center"/>
        <w:rPr>
          <w:rFonts w:hint="eastAsia" w:ascii="宋体" w:hAnsi="宋体" w:cs="宋体"/>
          <w:b/>
          <w:bCs/>
          <w:color w:val="auto"/>
          <w:sz w:val="36"/>
          <w:highlight w:val="none"/>
        </w:rPr>
      </w:pPr>
      <w:r>
        <w:rPr>
          <w:rFonts w:hint="eastAsia" w:ascii="宋体" w:hAnsi="宋体" w:cs="宋体"/>
          <w:b/>
          <w:bCs/>
          <w:color w:val="auto"/>
          <w:sz w:val="36"/>
          <w:highlight w:val="none"/>
        </w:rPr>
        <w:t xml:space="preserve">2025年11月</w:t>
      </w:r>
      <w:r>
        <w:rPr>
          <w:rFonts w:hint="eastAsia" w:ascii="宋体" w:hAnsi="宋体" w:cs="宋体"/>
          <w:b/>
          <w:bCs/>
          <w:color w:val="auto"/>
          <w:sz w:val="36"/>
          <w:highlight w:val="none"/>
          <w:lang w:val="en-US" w:eastAsia="zh-CN"/>
        </w:rPr>
        <w:t xml:space="preserve">20</w:t>
      </w:r>
      <w:r>
        <w:rPr>
          <w:rFonts w:hint="eastAsia" w:ascii="宋体" w:hAnsi="宋体" w:cs="宋体"/>
          <w:b/>
          <w:bCs/>
          <w:color w:val="auto"/>
          <w:sz w:val="36"/>
          <w:highlight w:val="none"/>
        </w:rPr>
        <w:t xml:space="preserve">日</w:t>
      </w:r>
      <w:r/>
    </w:p>
    <w:p>
      <w:pPr>
        <w:jc w:val="center"/>
        <w:rPr>
          <w:rFonts w:hint="eastAsia" w:ascii="宋体" w:hAnsi="宋体" w:cs="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2"/>
          <w:highlight w:val="none"/>
        </w:rPr>
      </w:r>
      <w:r/>
    </w:p>
    <w:p>
      <w:pPr>
        <w:pStyle w:val="931"/>
        <w:rPr>
          <w:rFonts w:hint="eastAsia" w:ascii="宋体" w:hAnsi="宋体" w:cs="宋体"/>
          <w:color w:val="auto"/>
          <w:highlight w:val="none"/>
        </w:rPr>
      </w:pPr>
      <w:r>
        <w:rPr>
          <w:rFonts w:hint="eastAsia" w:ascii="宋体" w:hAnsi="宋体" w:cs="宋体"/>
          <w:color w:val="auto"/>
          <w:highlight w:val="none"/>
        </w:rPr>
      </w:r>
      <w:r/>
    </w:p>
    <w:p>
      <w:pPr>
        <w:jc w:val="center"/>
        <w:spacing w:line="480" w:lineRule="auto"/>
        <w:rPr>
          <w:rFonts w:hint="eastAsia" w:ascii="宋体" w:hAnsi="宋体" w:cs="宋体"/>
          <w:color w:val="auto"/>
          <w:sz w:val="32"/>
          <w:highlight w:val="none"/>
        </w:rPr>
      </w:pPr>
      <w:r>
        <w:rPr>
          <w:rFonts w:hint="eastAsia" w:ascii="宋体" w:hAnsi="宋体" w:cs="宋体"/>
          <w:color w:val="auto"/>
          <w:sz w:val="32"/>
          <w:highlight w:val="none"/>
        </w:rPr>
        <w:t xml:space="preserve">目 录</w:t>
      </w:r>
      <w:r/>
    </w:p>
    <w:p>
      <w:pPr>
        <w:pStyle w:val="706"/>
        <w:tabs>
          <w:tab w:val="right" w:pos="8306" w:leader="dot"/>
        </w:tabs>
        <w:rPr>
          <w:color w:val="auto"/>
          <w:highlight w:val="none"/>
        </w:rPr>
      </w:pPr>
      <w:r>
        <w:rPr>
          <w:rFonts w:hint="eastAsia" w:ascii="宋体" w:hAnsi="宋体" w:cs="宋体"/>
          <w:color w:val="auto"/>
          <w:szCs w:val="21"/>
          <w:highlight w:val="none"/>
        </w:rPr>
        <w:fldChar w:fldCharType="begin"/>
      </w:r>
      <w:r>
        <w:rPr>
          <w:rFonts w:hint="eastAsia" w:ascii="宋体" w:hAnsi="宋体" w:cs="宋体"/>
          <w:color w:val="auto"/>
          <w:szCs w:val="21"/>
          <w:highlight w:val="none"/>
        </w:rPr>
        <w:instrText xml:space="preserve"> TOC \o "1-3" \f </w:instrText>
      </w:r>
      <w:r>
        <w:rPr>
          <w:rFonts w:hint="eastAsia" w:ascii="宋体" w:hAnsi="宋体" w:cs="宋体"/>
          <w:color w:val="auto"/>
          <w:szCs w:val="21"/>
          <w:highlight w:val="none"/>
        </w:rPr>
        <w:fldChar w:fldCharType="separate"/>
      </w:r>
      <w:r>
        <w:rPr>
          <w:rFonts w:hint="eastAsia"/>
          <w:color w:val="auto"/>
          <w:highlight w:val="none"/>
        </w:rPr>
        <w:t xml:space="preserve">第一章 </w:t>
      </w:r>
      <w:r>
        <w:rPr>
          <w:rFonts w:hint="eastAsia"/>
          <w:color w:val="auto"/>
          <w:highlight w:val="none"/>
          <w:lang w:eastAsia="zh-CN"/>
        </w:rPr>
        <w:t xml:space="preserve">江苏省苏北人民医院智慧病房项目建设（二次）</w:t>
      </w:r>
      <w:r>
        <w:rPr>
          <w:rFonts w:hint="eastAsia"/>
          <w:color w:val="auto"/>
          <w:highlight w:val="none"/>
        </w:rPr>
        <w:t xml:space="preserve">采购公告</w:t>
      </w:r>
      <w:r>
        <w:rPr>
          <w:color w:val="auto"/>
          <w:highlight w:val="none"/>
        </w:rPr>
        <w:tab/>
      </w:r>
      <w:r>
        <w:rPr>
          <w:color w:val="auto"/>
          <w:highlight w:val="none"/>
        </w:rPr>
        <w:fldChar w:fldCharType="begin"/>
      </w:r>
      <w:r>
        <w:rPr>
          <w:color w:val="auto"/>
          <w:highlight w:val="none"/>
        </w:rPr>
        <w:instrText xml:space="preserve"> PAGEREF _Toc30208 \h </w:instrText>
      </w:r>
      <w:r>
        <w:rPr>
          <w:color w:val="auto"/>
          <w:highlight w:val="none"/>
        </w:rPr>
        <w:fldChar w:fldCharType="separate"/>
      </w:r>
      <w:r>
        <w:rPr>
          <w:color w:val="auto"/>
          <w:highlight w:val="none"/>
        </w:rPr>
        <w:t xml:space="preserve">2</w:t>
      </w:r>
      <w:r>
        <w:rPr>
          <w:color w:val="auto"/>
          <w:highlight w:val="none"/>
        </w:rPr>
        <w:fldChar w:fldCharType="end"/>
      </w:r>
      <w:r/>
    </w:p>
    <w:p>
      <w:pPr>
        <w:pStyle w:val="706"/>
        <w:tabs>
          <w:tab w:val="right" w:pos="8306" w:leader="dot"/>
        </w:tabs>
        <w:rPr>
          <w:color w:val="auto"/>
          <w:highlight w:val="none"/>
        </w:rPr>
      </w:pPr>
      <w:r>
        <w:rPr>
          <w:rFonts w:hint="eastAsia"/>
          <w:color w:val="auto"/>
          <w:highlight w:val="none"/>
        </w:rPr>
        <w:t xml:space="preserve">第二章 投标人须知</w:t>
      </w:r>
      <w:r>
        <w:rPr>
          <w:color w:val="auto"/>
          <w:highlight w:val="none"/>
        </w:rPr>
        <w:tab/>
      </w:r>
      <w:r>
        <w:rPr>
          <w:rFonts w:hint="eastAsia"/>
          <w:color w:val="auto"/>
          <w:highlight w:val="none"/>
        </w:rPr>
        <w:t xml:space="preserve">6</w:t>
      </w:r>
      <w:r/>
    </w:p>
    <w:p>
      <w:pPr>
        <w:pStyle w:val="706"/>
        <w:tabs>
          <w:tab w:val="right" w:pos="8306" w:leader="dot"/>
        </w:tabs>
        <w:rPr>
          <w:color w:val="auto"/>
          <w:highlight w:val="none"/>
        </w:rPr>
      </w:pPr>
      <w:r>
        <w:rPr>
          <w:rFonts w:hint="eastAsia"/>
          <w:color w:val="auto"/>
          <w:highlight w:val="none"/>
        </w:rPr>
        <w:t xml:space="preserve">第三章 合同条款及格式</w:t>
      </w:r>
      <w:r>
        <w:rPr>
          <w:color w:val="auto"/>
          <w:highlight w:val="none"/>
        </w:rPr>
        <w:tab/>
      </w:r>
      <w:r>
        <w:rPr>
          <w:color w:val="auto"/>
          <w:highlight w:val="none"/>
        </w:rPr>
        <w:fldChar w:fldCharType="begin"/>
      </w:r>
      <w:r>
        <w:rPr>
          <w:color w:val="auto"/>
          <w:highlight w:val="none"/>
        </w:rPr>
        <w:instrText xml:space="preserve"> PAGEREF _Toc18427 \h </w:instrText>
      </w:r>
      <w:r>
        <w:rPr>
          <w:color w:val="auto"/>
          <w:highlight w:val="none"/>
        </w:rPr>
        <w:fldChar w:fldCharType="separate"/>
      </w:r>
      <w:r>
        <w:rPr>
          <w:color w:val="auto"/>
          <w:highlight w:val="none"/>
        </w:rPr>
        <w:t xml:space="preserve">1</w:t>
      </w:r>
      <w:r>
        <w:rPr>
          <w:rFonts w:hint="eastAsia"/>
          <w:color w:val="auto"/>
          <w:highlight w:val="none"/>
        </w:rPr>
        <w:t xml:space="preserve">6</w:t>
      </w:r>
      <w:r>
        <w:rPr>
          <w:color w:val="auto"/>
          <w:highlight w:val="none"/>
        </w:rPr>
        <w:fldChar w:fldCharType="end"/>
      </w:r>
      <w:r/>
    </w:p>
    <w:p>
      <w:pPr>
        <w:pStyle w:val="706"/>
        <w:tabs>
          <w:tab w:val="right" w:pos="8306" w:leader="dot"/>
        </w:tabs>
        <w:rPr>
          <w:color w:val="auto"/>
          <w:highlight w:val="none"/>
        </w:rPr>
      </w:pPr>
      <w:r>
        <w:rPr>
          <w:rFonts w:hint="eastAsia"/>
          <w:color w:val="auto"/>
          <w:highlight w:val="none"/>
        </w:rPr>
        <w:t xml:space="preserve">第四章 项目需求</w:t>
      </w:r>
      <w:r>
        <w:rPr>
          <w:color w:val="auto"/>
          <w:highlight w:val="none"/>
        </w:rPr>
        <w:tab/>
      </w:r>
      <w:r>
        <w:rPr>
          <w:color w:val="auto"/>
          <w:highlight w:val="none"/>
        </w:rPr>
        <w:fldChar w:fldCharType="begin"/>
      </w:r>
      <w:r>
        <w:rPr>
          <w:color w:val="auto"/>
          <w:highlight w:val="none"/>
        </w:rPr>
        <w:instrText xml:space="preserve"> PAGEREF _Toc12506 \h </w:instrText>
      </w:r>
      <w:r>
        <w:rPr>
          <w:color w:val="auto"/>
          <w:highlight w:val="none"/>
        </w:rPr>
        <w:fldChar w:fldCharType="separate"/>
      </w:r>
      <w:r>
        <w:rPr>
          <w:color w:val="auto"/>
          <w:highlight w:val="none"/>
        </w:rPr>
        <w:t xml:space="preserve">2</w:t>
      </w:r>
      <w:r>
        <w:rPr>
          <w:rFonts w:hint="eastAsia"/>
          <w:color w:val="auto"/>
          <w:highlight w:val="none"/>
        </w:rPr>
        <w:t xml:space="preserve">0</w:t>
      </w:r>
      <w:r>
        <w:rPr>
          <w:color w:val="auto"/>
          <w:highlight w:val="none"/>
        </w:rPr>
        <w:fldChar w:fldCharType="end"/>
      </w:r>
      <w:r/>
    </w:p>
    <w:p>
      <w:pPr>
        <w:pStyle w:val="706"/>
        <w:tabs>
          <w:tab w:val="right" w:pos="8306" w:leader="dot"/>
        </w:tabs>
        <w:rPr>
          <w:rFonts w:hint="eastAsia" w:eastAsia="宋体"/>
          <w:color w:val="auto"/>
          <w:highlight w:val="none"/>
          <w:lang w:eastAsia="zh-CN"/>
        </w:rPr>
      </w:pPr>
      <w:r>
        <w:rPr>
          <w:rFonts w:hint="eastAsia"/>
          <w:color w:val="auto"/>
          <w:highlight w:val="none"/>
        </w:rPr>
        <w:t xml:space="preserve">第五章 评标方法及评标标准</w:t>
      </w:r>
      <w:r>
        <w:rPr>
          <w:color w:val="auto"/>
          <w:highlight w:val="none"/>
        </w:rPr>
        <w:tab/>
      </w:r>
      <w:r>
        <w:rPr>
          <w:rFonts w:hint="eastAsia"/>
          <w:color w:val="auto"/>
          <w:highlight w:val="none"/>
        </w:rPr>
        <w:t xml:space="preserve">4</w:t>
      </w:r>
      <w:r>
        <w:rPr>
          <w:rFonts w:hint="eastAsia"/>
          <w:color w:val="auto"/>
          <w:highlight w:val="none"/>
          <w:lang w:val="en-US" w:eastAsia="zh-CN"/>
        </w:rPr>
        <w:t xml:space="preserve">3</w:t>
      </w:r>
      <w:r/>
    </w:p>
    <w:p>
      <w:pPr>
        <w:pStyle w:val="706"/>
        <w:tabs>
          <w:tab w:val="right" w:pos="8306" w:leader="dot"/>
        </w:tabs>
        <w:rPr>
          <w:rFonts w:hint="default" w:eastAsia="宋体"/>
          <w:color w:val="auto"/>
          <w:highlight w:val="none"/>
          <w:lang w:val="en-US" w:eastAsia="zh-CN"/>
        </w:rPr>
      </w:pPr>
      <w:r>
        <w:rPr>
          <w:rFonts w:hint="eastAsia"/>
          <w:color w:val="auto"/>
          <w:highlight w:val="none"/>
        </w:rPr>
        <w:t xml:space="preserve">第六章 投标文件格式</w:t>
      </w:r>
      <w:r>
        <w:rPr>
          <w:color w:val="auto"/>
          <w:highlight w:val="none"/>
        </w:rPr>
        <w:tab/>
      </w:r>
      <w:r>
        <w:rPr>
          <w:rFonts w:hint="eastAsia"/>
          <w:color w:val="auto"/>
          <w:highlight w:val="none"/>
          <w:lang w:val="en-US" w:eastAsia="zh-CN"/>
        </w:rPr>
        <w:t xml:space="preserve">53</w:t>
      </w:r>
      <w:r/>
    </w:p>
    <w:p>
      <w:pPr>
        <w:pStyle w:val="712"/>
        <w:tabs>
          <w:tab w:val="right" w:pos="8306" w:leader="dot"/>
        </w:tabs>
        <w:rPr>
          <w:color w:val="auto"/>
          <w:highlight w:val="none"/>
        </w:rPr>
      </w:pPr>
      <w:r>
        <w:rPr>
          <w:color w:val="auto"/>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fldChar w:fldCharType="end"/>
      </w:r>
      <w:r/>
    </w:p>
    <w:p>
      <w:pPr>
        <w:spacing w:line="360" w:lineRule="auto"/>
        <w:rPr>
          <w:rFonts w:hint="eastAsia" w:ascii="宋体" w:hAnsi="宋体" w:cs="宋体"/>
          <w:color w:val="auto"/>
          <w:highlight w:val="none"/>
        </w:rPr>
      </w:pPr>
      <w:r>
        <w:rPr>
          <w:rFonts w:hint="eastAsia" w:ascii="宋体" w:hAnsi="宋体" w:cs="宋体"/>
          <w:color w:val="auto"/>
          <w:sz w:val="28"/>
          <w:highlight w:val="none"/>
        </w:rPr>
        <w:br w:type="page" w:clear="all"/>
      </w:r>
      <w:r/>
    </w:p>
    <w:p>
      <w:pPr>
        <w:pStyle w:val="680"/>
        <w:numPr>
          <w:ilvl w:val="0"/>
          <w:numId w:val="0"/>
        </w:numPr>
        <w:ind w:left="392"/>
        <w:rPr>
          <w:rFonts w:hint="eastAsia" w:eastAsia="宋体"/>
          <w:color w:val="auto"/>
          <w:highlight w:val="none"/>
          <w:lang w:eastAsia="zh-CN"/>
        </w:rPr>
      </w:pPr>
      <w:r/>
      <w:bookmarkStart w:id="0" w:name="_Toc30208"/>
      <w:r/>
      <w:bookmarkStart w:id="1" w:name="_Toc55204177"/>
      <w:r>
        <w:rPr>
          <w:rFonts w:hint="eastAsia"/>
          <w:color w:val="auto"/>
          <w:highlight w:val="none"/>
        </w:rPr>
        <w:t xml:space="preserve">第一章 </w:t>
      </w:r>
      <w:bookmarkEnd w:id="0"/>
      <w:r>
        <w:rPr>
          <w:rFonts w:hint="eastAsia"/>
          <w:color w:val="auto"/>
          <w:highlight w:val="none"/>
          <w:lang w:eastAsia="zh-CN"/>
        </w:rPr>
        <w:t xml:space="preserve">江苏省苏北人民医院智慧病房项目建设（二次）</w:t>
      </w:r>
      <w:r/>
    </w:p>
    <w:p>
      <w:pPr>
        <w:pStyle w:val="680"/>
        <w:numPr>
          <w:ilvl w:val="0"/>
          <w:numId w:val="0"/>
        </w:numPr>
        <w:ind w:left="392"/>
        <w:rPr>
          <w:color w:val="auto"/>
          <w:highlight w:val="none"/>
        </w:rPr>
      </w:pPr>
      <w:r/>
      <w:bookmarkStart w:id="2" w:name="_Toc27417"/>
      <w:r>
        <w:rPr>
          <w:rFonts w:hint="eastAsia"/>
          <w:color w:val="auto"/>
          <w:highlight w:val="none"/>
        </w:rPr>
        <w:t xml:space="preserve">采购公告</w:t>
      </w:r>
      <w:bookmarkEnd w:id="1"/>
      <w:r/>
      <w:bookmarkEnd w:id="2"/>
      <w:r/>
      <w:r/>
    </w:p>
    <w:p>
      <w:pPr>
        <w:ind w:firstLine="420"/>
        <w:jc w:val="left"/>
        <w:spacing w:line="360" w:lineRule="auto"/>
        <w:tabs>
          <w:tab w:val="left" w:pos="266" w:leader="none"/>
        </w:tabs>
        <w:rPr>
          <w:rFonts w:hint="eastAsia" w:ascii="宋体" w:hAnsi="宋体" w:cs="宋体"/>
          <w:color w:val="auto"/>
          <w:szCs w:val="21"/>
          <w:highlight w:val="none"/>
        </w:rPr>
      </w:pPr>
      <w:r>
        <w:rPr>
          <w:rFonts w:hint="eastAsia" w:ascii="宋体" w:hAnsi="宋体" w:cs="宋体"/>
          <w:color w:val="auto"/>
          <w:highlight w:val="none"/>
        </w:rPr>
        <w:t xml:space="preserve">受江苏省苏北人民医院的委托，江苏苏维工程管理有限公司就</w:t>
      </w:r>
      <w:r>
        <w:rPr>
          <w:rFonts w:hint="eastAsia" w:ascii="宋体" w:hAnsi="宋体" w:cs="宋体"/>
          <w:color w:val="auto"/>
          <w:highlight w:val="none"/>
          <w:lang w:eastAsia="zh-CN"/>
        </w:rPr>
        <w:t xml:space="preserve">江苏省苏北人民医院智慧病房项目建设（二次）</w:t>
      </w:r>
      <w:r>
        <w:rPr>
          <w:rFonts w:hint="eastAsia" w:ascii="宋体" w:hAnsi="宋体" w:cs="宋体"/>
          <w:color w:val="auto"/>
          <w:highlight w:val="none"/>
        </w:rPr>
        <w:t xml:space="preserve">(</w:t>
      </w:r>
      <w:r>
        <w:rPr>
          <w:rFonts w:hint="eastAsia" w:ascii="宋体" w:hAnsi="宋体" w:cs="宋体"/>
          <w:color w:val="auto"/>
          <w:szCs w:val="21"/>
          <w:highlight w:val="none"/>
          <w:lang w:eastAsia="zh-CN"/>
        </w:rPr>
        <w:t xml:space="preserve">JSZC-321000-SWGC-G2025-0237</w:t>
      </w:r>
      <w:r>
        <w:rPr>
          <w:rFonts w:hint="eastAsia" w:ascii="宋体" w:hAnsi="宋体" w:cs="宋体"/>
          <w:color w:val="auto"/>
          <w:szCs w:val="21"/>
          <w:highlight w:val="none"/>
        </w:rPr>
        <w:t xml:space="preserve">号</w:t>
      </w:r>
      <w:r>
        <w:rPr>
          <w:rFonts w:hint="eastAsia" w:ascii="宋体" w:hAnsi="宋体" w:cs="宋体"/>
          <w:color w:val="auto"/>
          <w:highlight w:val="none"/>
        </w:rPr>
        <w:t xml:space="preserve">)进行公开招标采购，欢迎符合条件的供应商投标。</w:t>
      </w:r>
      <w:r/>
    </w:p>
    <w:p>
      <w:pPr>
        <w:ind w:firstLine="422"/>
        <w:spacing w:line="360" w:lineRule="auto"/>
        <w:rPr>
          <w:rFonts w:hint="eastAsia" w:ascii="宋体" w:hAnsi="宋体" w:cs="宋体"/>
          <w:b/>
          <w:bCs/>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highlight w:val="none"/>
        </w:rPr>
        <w:t xml:space="preserve">项目概况</w:t>
      </w:r>
      <w:r/>
    </w:p>
    <w:p>
      <w:pPr>
        <w:ind w:firstLine="420"/>
        <w:spacing w:line="360" w:lineRule="auto"/>
        <w:rPr>
          <w:rFonts w:hint="eastAsia" w:ascii="宋体" w:hAnsi="宋体" w:cs="宋体"/>
          <w:color w:val="auto"/>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highlight w:val="none"/>
          <w:u w:val="single"/>
          <w:lang w:eastAsia="zh-CN"/>
        </w:rPr>
        <w:t xml:space="preserve">江苏省苏北人民医院智慧病房项目建设（二次）</w:t>
      </w:r>
      <w:r>
        <w:rPr>
          <w:rFonts w:hint="eastAsia" w:ascii="宋体" w:hAnsi="宋体" w:cs="宋体"/>
          <w:color w:val="auto"/>
          <w:highlight w:val="none"/>
        </w:rPr>
        <w:t xml:space="preserve">的潜在投标人可在</w:t>
      </w:r>
      <w:r>
        <w:rPr>
          <w:rFonts w:hint="eastAsia" w:ascii="宋体" w:hAnsi="宋体" w:cs="宋体"/>
          <w:color w:val="auto"/>
          <w:highlight w:val="none"/>
          <w:u w:val="single"/>
        </w:rPr>
        <w:t xml:space="preserve">“扬州市政府采购网”、“江苏省政府采购网”和“中国政府采购网”自行免费下载</w:t>
      </w:r>
      <w:r>
        <w:rPr>
          <w:rFonts w:hint="eastAsia" w:ascii="宋体" w:hAnsi="宋体" w:cs="宋体"/>
          <w:color w:val="auto"/>
          <w:highlight w:val="none"/>
        </w:rPr>
        <w:t xml:space="preserve">招标文件，并于</w:t>
      </w:r>
      <w:r>
        <w:rPr>
          <w:rFonts w:hint="eastAsia" w:ascii="宋体" w:hAnsi="宋体" w:cs="宋体"/>
          <w:bCs/>
          <w:color w:val="0000ff"/>
          <w:highlight w:val="none"/>
          <w:u w:val="single"/>
        </w:rPr>
        <w:t xml:space="preserve">2025年</w:t>
      </w:r>
      <w:r>
        <w:rPr>
          <w:rFonts w:hint="eastAsia" w:ascii="宋体" w:hAnsi="宋体" w:cs="宋体"/>
          <w:bCs/>
          <w:color w:val="0000ff"/>
          <w:highlight w:val="none"/>
          <w:u w:val="single"/>
          <w:lang w:val="en-US" w:eastAsia="zh-CN"/>
        </w:rPr>
        <w:t xml:space="preserve">12</w:t>
      </w:r>
      <w:r>
        <w:rPr>
          <w:rFonts w:hint="eastAsia" w:ascii="宋体" w:hAnsi="宋体" w:cs="宋体"/>
          <w:bCs/>
          <w:color w:val="0000ff"/>
          <w:highlight w:val="none"/>
          <w:u w:val="single"/>
        </w:rPr>
        <w:t xml:space="preserve">月</w:t>
      </w:r>
      <w:r>
        <w:rPr>
          <w:rFonts w:hint="eastAsia" w:ascii="宋体" w:hAnsi="宋体" w:cs="宋体"/>
          <w:bCs/>
          <w:color w:val="0000ff"/>
          <w:highlight w:val="none"/>
          <w:u w:val="single"/>
          <w:lang w:val="en-US" w:eastAsia="zh-CN"/>
        </w:rPr>
        <w:t xml:space="preserve">18</w:t>
      </w:r>
      <w:r>
        <w:rPr>
          <w:rFonts w:hint="eastAsia" w:ascii="宋体" w:hAnsi="宋体" w:cs="宋体"/>
          <w:bCs/>
          <w:color w:val="0000ff"/>
          <w:highlight w:val="none"/>
          <w:u w:val="single"/>
        </w:rPr>
        <w:t xml:space="preserve">日上午9:30 </w:t>
      </w:r>
      <w:r>
        <w:rPr>
          <w:rFonts w:hint="eastAsia" w:ascii="宋体" w:hAnsi="宋体" w:cs="宋体"/>
          <w:bCs/>
          <w:color w:val="auto"/>
          <w:highlight w:val="none"/>
        </w:rPr>
        <w:t xml:space="preserve">（北京时间）前递交投标文件</w:t>
      </w:r>
      <w:r>
        <w:rPr>
          <w:rFonts w:hint="eastAsia" w:ascii="宋体" w:hAnsi="宋体" w:cs="宋体"/>
          <w:color w:val="auto"/>
          <w:highlight w:val="none"/>
        </w:rPr>
        <w:t xml:space="preserve">。</w:t>
      </w:r>
      <w:r/>
    </w:p>
    <w:p>
      <w:pPr>
        <w:ind w:firstLine="422"/>
        <w:spacing w:line="360" w:lineRule="auto"/>
        <w:tabs>
          <w:tab w:val="left" w:pos="266" w:leader="none"/>
        </w:tabs>
        <w:rPr>
          <w:rFonts w:hint="eastAsia" w:ascii="宋体" w:hAnsi="宋体" w:cs="宋体"/>
          <w:b/>
          <w:bCs/>
          <w:color w:val="auto"/>
          <w:highlight w:val="none"/>
        </w:rPr>
      </w:pPr>
      <w:r/>
      <w:bookmarkStart w:id="3" w:name="_Toc38985263"/>
      <w:r/>
      <w:bookmarkStart w:id="4" w:name="_Toc35393790"/>
      <w:r/>
      <w:bookmarkStart w:id="5" w:name="_Toc28359002"/>
      <w:r/>
      <w:bookmarkStart w:id="6" w:name="_Toc35393621"/>
      <w:r/>
      <w:bookmarkStart w:id="7" w:name="_Toc28359079"/>
      <w:r/>
      <w:bookmarkStart w:id="8" w:name="_Hlk24379207"/>
      <w:r>
        <w:rPr>
          <w:rFonts w:hint="eastAsia" w:ascii="宋体" w:hAnsi="宋体" w:cs="宋体"/>
          <w:b/>
          <w:bCs/>
          <w:color w:val="auto"/>
          <w:highlight w:val="none"/>
        </w:rPr>
        <w:t xml:space="preserve">一、项目基本情况</w:t>
      </w:r>
      <w:bookmarkEnd w:id="3"/>
      <w:r/>
      <w:bookmarkEnd w:id="4"/>
      <w:r/>
      <w:bookmarkEnd w:id="5"/>
      <w:r/>
      <w:bookmarkEnd w:id="6"/>
      <w:r/>
      <w:bookmarkEnd w:id="7"/>
      <w:r/>
      <w:r/>
    </w:p>
    <w:p>
      <w:pPr>
        <w:ind w:firstLine="420"/>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1.项目编号：</w:t>
      </w:r>
      <w:r>
        <w:rPr>
          <w:rFonts w:hint="eastAsia" w:ascii="宋体" w:hAnsi="宋体" w:cs="宋体"/>
          <w:color w:val="auto"/>
          <w:szCs w:val="21"/>
          <w:highlight w:val="none"/>
          <w:lang w:eastAsia="zh-CN"/>
        </w:rPr>
        <w:t xml:space="preserve">JSZC-321000-SWGC-G2025-0237</w:t>
      </w:r>
      <w:r>
        <w:rPr>
          <w:rFonts w:hint="eastAsia" w:ascii="宋体" w:hAnsi="宋体" w:cs="宋体"/>
          <w:color w:val="auto"/>
          <w:szCs w:val="21"/>
          <w:highlight w:val="none"/>
        </w:rPr>
        <w:t xml:space="preserve">号</w:t>
      </w:r>
      <w:r/>
    </w:p>
    <w:p>
      <w:pPr>
        <w:ind w:firstLine="420"/>
        <w:spacing w:line="360" w:lineRule="auto"/>
        <w:rPr>
          <w:rFonts w:hint="eastAsia" w:ascii="宋体" w:hAnsi="宋体" w:eastAsia="宋体" w:cs="宋体"/>
          <w:color w:val="auto"/>
          <w:highlight w:val="none"/>
          <w:lang w:eastAsia="zh-CN"/>
        </w:rPr>
      </w:pPr>
      <w:r>
        <w:rPr>
          <w:rFonts w:hint="eastAsia" w:ascii="宋体" w:hAnsi="宋体" w:cs="宋体"/>
          <w:color w:val="auto"/>
          <w:highlight w:val="none"/>
        </w:rPr>
        <w:t xml:space="preserve">2.项目名称：</w:t>
      </w:r>
      <w:r>
        <w:rPr>
          <w:rFonts w:hint="eastAsia" w:ascii="宋体" w:hAnsi="宋体" w:cs="宋体"/>
          <w:color w:val="auto"/>
          <w:highlight w:val="none"/>
          <w:lang w:eastAsia="zh-CN"/>
        </w:rPr>
        <w:t xml:space="preserve">江苏省苏北人民医院智慧病房项目建设（二次）</w:t>
      </w:r>
      <w:bookmarkEnd w:id="8"/>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3.预算金额：人民币498万元。</w:t>
      </w:r>
      <w:r/>
    </w:p>
    <w:p>
      <w:pPr>
        <w:ind w:firstLine="420"/>
        <w:spacing w:line="360" w:lineRule="auto"/>
        <w:rPr>
          <w:rFonts w:hint="default" w:ascii="宋体" w:hAnsi="宋体" w:eastAsia="宋体" w:cs="宋体"/>
          <w:color w:val="auto"/>
          <w:highlight w:val="none"/>
          <w:lang w:val="en-US" w:eastAsia="zh-CN"/>
        </w:rPr>
      </w:pPr>
      <w:r>
        <w:rPr>
          <w:rFonts w:hint="eastAsia" w:ascii="宋体" w:hAnsi="宋体" w:cs="宋体"/>
          <w:color w:val="auto"/>
          <w:highlight w:val="none"/>
        </w:rPr>
        <w:t xml:space="preserve">4.本项目</w:t>
      </w:r>
      <w:r>
        <w:rPr>
          <w:rFonts w:hint="eastAsia" w:ascii="宋体" w:hAnsi="宋体" w:cs="宋体"/>
          <w:color w:val="auto"/>
          <w:highlight w:val="none"/>
          <w:u w:val="single"/>
        </w:rPr>
        <w:t xml:space="preserve">设置</w:t>
      </w:r>
      <w:r>
        <w:rPr>
          <w:rFonts w:hint="eastAsia" w:ascii="宋体" w:hAnsi="宋体" w:cs="宋体"/>
          <w:color w:val="auto"/>
          <w:highlight w:val="none"/>
        </w:rPr>
        <w:t xml:space="preserve">最高限价：人民币498万元</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投标报价超过最高限价作无效投标处理。</w:t>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5.采购需求：见招标文件第四章。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6.合同履行期限：见招标文件第四章。</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7.本项目</w:t>
      </w:r>
      <w:r>
        <w:rPr>
          <w:rFonts w:hint="eastAsia" w:ascii="宋体" w:hAnsi="宋体" w:cs="宋体"/>
          <w:i/>
          <w:iCs/>
          <w:color w:val="auto"/>
          <w:highlight w:val="none"/>
          <w:u w:val="single"/>
        </w:rPr>
        <w:t xml:space="preserve">不接受</w:t>
      </w:r>
      <w:r>
        <w:rPr>
          <w:rFonts w:hint="eastAsia" w:ascii="宋体" w:hAnsi="宋体" w:cs="宋体"/>
          <w:color w:val="auto"/>
          <w:highlight w:val="none"/>
        </w:rPr>
        <w:t xml:space="preserve">联合体投标。  </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8.本项目</w:t>
      </w:r>
      <w:r>
        <w:rPr>
          <w:rFonts w:hint="eastAsia" w:ascii="宋体" w:hAnsi="宋体" w:cs="宋体"/>
          <w:i/>
          <w:iCs/>
          <w:color w:val="auto"/>
          <w:highlight w:val="none"/>
          <w:u w:val="single"/>
        </w:rPr>
        <w:t xml:space="preserve">不接受</w:t>
      </w:r>
      <w:r>
        <w:rPr>
          <w:rFonts w:hint="eastAsia" w:ascii="宋体" w:hAnsi="宋体" w:cs="宋体"/>
          <w:color w:val="auto"/>
          <w:highlight w:val="none"/>
        </w:rPr>
        <w:t xml:space="preserve">进口产品投标。</w:t>
      </w:r>
      <w:r/>
    </w:p>
    <w:p>
      <w:pPr>
        <w:ind w:firstLine="422"/>
        <w:spacing w:line="360" w:lineRule="auto"/>
        <w:tabs>
          <w:tab w:val="left" w:pos="266" w:leader="none"/>
        </w:tabs>
        <w:rPr>
          <w:rFonts w:hint="eastAsia" w:ascii="宋体" w:hAnsi="宋体" w:cs="宋体"/>
          <w:b/>
          <w:bCs/>
          <w:color w:val="auto"/>
          <w:highlight w:val="none"/>
        </w:rPr>
      </w:pPr>
      <w:r/>
      <w:bookmarkStart w:id="9" w:name="_Toc35393622"/>
      <w:r/>
      <w:bookmarkStart w:id="10" w:name="_Toc38985264"/>
      <w:r/>
      <w:bookmarkStart w:id="11" w:name="_Toc28359080"/>
      <w:r/>
      <w:bookmarkStart w:id="12" w:name="_Toc35393791"/>
      <w:r/>
      <w:bookmarkStart w:id="13" w:name="_Toc28359003"/>
      <w:r>
        <w:rPr>
          <w:rFonts w:hint="eastAsia" w:ascii="宋体" w:hAnsi="宋体" w:cs="宋体"/>
          <w:b/>
          <w:bCs/>
          <w:color w:val="auto"/>
          <w:highlight w:val="none"/>
        </w:rPr>
        <w:t xml:space="preserve">二、申请人的资格要求：</w:t>
      </w:r>
      <w:bookmarkEnd w:id="9"/>
      <w:r/>
      <w:bookmarkEnd w:id="10"/>
      <w:r/>
      <w:bookmarkEnd w:id="11"/>
      <w:r/>
      <w:bookmarkEnd w:id="12"/>
      <w:r/>
      <w:bookmarkEnd w:id="13"/>
      <w:r/>
      <w:r/>
    </w:p>
    <w:p>
      <w:pPr>
        <w:ind w:firstLine="420"/>
        <w:spacing w:line="360" w:lineRule="auto"/>
        <w:rPr>
          <w:rFonts w:hint="eastAsia" w:ascii="宋体" w:hAnsi="宋体" w:cs="宋体"/>
          <w:color w:val="auto"/>
          <w:szCs w:val="21"/>
          <w:highlight w:val="none"/>
        </w:rPr>
      </w:pPr>
      <w:r/>
      <w:bookmarkStart w:id="14" w:name="_Toc35393792"/>
      <w:r/>
      <w:bookmarkStart w:id="15" w:name="_Toc28359004"/>
      <w:r/>
      <w:bookmarkStart w:id="16" w:name="_Toc38985265"/>
      <w:r/>
      <w:bookmarkStart w:id="17" w:name="_Toc35393623"/>
      <w:r/>
      <w:bookmarkStart w:id="18" w:name="_Toc28359081"/>
      <w:r>
        <w:rPr>
          <w:rFonts w:hint="eastAsia" w:ascii="宋体" w:hAnsi="宋体" w:cs="宋体"/>
          <w:color w:val="auto"/>
          <w:szCs w:val="21"/>
          <w:highlight w:val="none"/>
        </w:rPr>
        <w:t xml:space="preserve">1.满足《中华人民共和国政府采购法》第二十二条规定：</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1.2 上一年度的财务报告情况</w:t>
      </w:r>
      <w:r>
        <w:rPr>
          <w:rFonts w:hint="eastAsia" w:ascii="宋体" w:hAnsi="宋体" w:cs="宋体"/>
          <w:b/>
          <w:bCs/>
          <w:i/>
          <w:iCs/>
          <w:color w:val="auto"/>
          <w:szCs w:val="21"/>
          <w:highlight w:val="none"/>
          <w:u w:val="single"/>
        </w:rPr>
        <w:t xml:space="preserve">（成立不满一年无需提供）</w:t>
      </w:r>
      <w:r/>
    </w:p>
    <w:p>
      <w:pPr>
        <w:ind w:firstLine="420"/>
        <w:spacing w:line="360" w:lineRule="auto"/>
        <w:rPr>
          <w:rFonts w:hint="eastAsia" w:ascii="宋体" w:hAnsi="宋体" w:cs="宋体"/>
          <w:b/>
          <w:bCs/>
          <w:i/>
          <w:iCs/>
          <w:color w:val="auto"/>
          <w:highlight w:val="none"/>
          <w:u w:val="single"/>
        </w:rPr>
      </w:pPr>
      <w:r>
        <w:rPr>
          <w:rFonts w:hint="eastAsia" w:ascii="宋体" w:hAnsi="宋体" w:cs="宋体"/>
          <w:i/>
          <w:iCs/>
          <w:color w:val="auto"/>
          <w:szCs w:val="21"/>
          <w:highlight w:val="none"/>
          <w:u w:val="single"/>
        </w:rPr>
        <w:t xml:space="preserve">1.3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参加政府采购活动前3年内在经营活动中没有重大违法记录的书面声明；</w:t>
      </w:r>
      <w:r/>
    </w:p>
    <w:p>
      <w:pPr>
        <w:ind w:firstLine="420"/>
        <w:spacing w:line="360" w:lineRule="auto"/>
        <w:rPr>
          <w:rFonts w:hint="eastAsia"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1.6 供应商信用承诺函；</w:t>
      </w:r>
      <w:r/>
    </w:p>
    <w:p>
      <w:pPr>
        <w:ind w:firstLine="420"/>
        <w:spacing w:line="360" w:lineRule="auto"/>
        <w:rPr>
          <w:rFonts w:hint="eastAsia"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2.落实政府采购政策需满足的资格要求：无。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3.本项目的特定资格要求：</w:t>
      </w:r>
      <w:r>
        <w:rPr>
          <w:rFonts w:hint="eastAsia" w:ascii="宋体" w:hAnsi="宋体"/>
          <w:color w:val="auto"/>
          <w:szCs w:val="21"/>
          <w:highlight w:val="none"/>
        </w:rPr>
        <w:t xml:space="preserve">无。</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三、获取招标文件</w:t>
      </w:r>
      <w:bookmarkEnd w:id="14"/>
      <w:r/>
      <w:bookmarkEnd w:id="15"/>
      <w:r/>
      <w:bookmarkEnd w:id="16"/>
      <w:r/>
      <w:bookmarkEnd w:id="17"/>
      <w:r/>
      <w:bookmarkEnd w:id="18"/>
      <w:r/>
      <w:r/>
    </w:p>
    <w:p>
      <w:pPr>
        <w:ind w:firstLine="420"/>
        <w:spacing w:line="360" w:lineRule="auto"/>
        <w:rPr>
          <w:rFonts w:hint="eastAsia" w:ascii="宋体" w:hAnsi="宋体" w:cs="宋体"/>
          <w:color w:val="auto"/>
          <w:highlight w:val="none"/>
        </w:rPr>
      </w:pPr>
      <w:r/>
      <w:bookmarkStart w:id="19" w:name="_Toc28359005"/>
      <w:r/>
      <w:bookmarkStart w:id="20" w:name="_Toc28359082"/>
      <w:r/>
      <w:bookmarkStart w:id="21" w:name="_Toc35393624"/>
      <w:r/>
      <w:bookmarkStart w:id="22" w:name="_Toc38985266"/>
      <w:r/>
      <w:bookmarkStart w:id="23" w:name="_Toc35393793"/>
      <w:r>
        <w:rPr>
          <w:rFonts w:hint="eastAsia" w:ascii="宋体" w:hAnsi="宋体" w:cs="宋体"/>
          <w:color w:val="auto"/>
          <w:highlight w:val="none"/>
        </w:rPr>
        <w:t xml:space="preserve">1.时间：自招标文件公告发布之日起5个工作日。5个工作日后仍可下载招标文件，但不作为供应商权益受到损害的证明材料和依据。</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http://zfcg.yangzhou.gov.cn/xzzx/art/2023/art_4d7de1f7865f4a2894fc22bc452f94d8.html</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四、提交投标文件</w:t>
      </w:r>
      <w:bookmarkEnd w:id="19"/>
      <w:r/>
      <w:bookmarkEnd w:id="20"/>
      <w:r>
        <w:rPr>
          <w:rFonts w:hint="eastAsia" w:ascii="宋体" w:hAnsi="宋体" w:cs="宋体"/>
          <w:b/>
          <w:bCs/>
          <w:color w:val="auto"/>
          <w:highlight w:val="none"/>
        </w:rPr>
        <w:t xml:space="preserve">截止时间、开标时间和地点</w:t>
      </w:r>
      <w:bookmarkEnd w:id="21"/>
      <w:r/>
      <w:bookmarkEnd w:id="22"/>
      <w:r/>
      <w:bookmarkEnd w:id="23"/>
      <w:r/>
      <w:r/>
    </w:p>
    <w:p>
      <w:pPr>
        <w:ind w:firstLine="420"/>
        <w:spacing w:line="360" w:lineRule="auto"/>
        <w:rPr>
          <w:rFonts w:hint="eastAsia" w:ascii="宋体" w:hAnsi="宋体" w:cs="宋体"/>
          <w:bCs/>
          <w:color w:val="auto"/>
          <w:szCs w:val="21"/>
          <w:highlight w:val="none"/>
          <w:u w:val="single"/>
        </w:rPr>
      </w:pPr>
      <w:r>
        <w:rPr>
          <w:rFonts w:hint="eastAsia" w:ascii="宋体" w:hAnsi="宋体" w:cs="宋体"/>
          <w:color w:val="auto"/>
          <w:highlight w:val="none"/>
        </w:rPr>
        <w:t xml:space="preserve">1.时间：</w:t>
      </w:r>
      <w:r>
        <w:rPr>
          <w:rFonts w:hint="eastAsia" w:ascii="宋体" w:hAnsi="宋体" w:cs="宋体"/>
          <w:color w:val="0000ff"/>
          <w:highlight w:val="none"/>
        </w:rPr>
        <w:t xml:space="preserve">2025年</w:t>
      </w:r>
      <w:r>
        <w:rPr>
          <w:rFonts w:hint="eastAsia" w:ascii="宋体" w:hAnsi="宋体" w:cs="宋体"/>
          <w:color w:val="0000ff"/>
          <w:highlight w:val="none"/>
          <w:lang w:val="en-US" w:eastAsia="zh-CN"/>
        </w:rPr>
        <w:t xml:space="preserve">12</w:t>
      </w:r>
      <w:r>
        <w:rPr>
          <w:rFonts w:hint="eastAsia" w:ascii="宋体" w:hAnsi="宋体" w:cs="宋体"/>
          <w:color w:val="0000ff"/>
          <w:highlight w:val="none"/>
        </w:rPr>
        <w:t xml:space="preserve">月</w:t>
      </w:r>
      <w:r>
        <w:rPr>
          <w:rFonts w:hint="eastAsia" w:ascii="宋体" w:hAnsi="宋体" w:cs="宋体"/>
          <w:color w:val="0000ff"/>
          <w:highlight w:val="none"/>
          <w:lang w:val="en-US" w:eastAsia="zh-CN"/>
        </w:rPr>
        <w:t xml:space="preserve">18</w:t>
      </w:r>
      <w:r>
        <w:rPr>
          <w:rFonts w:hint="eastAsia" w:ascii="宋体" w:hAnsi="宋体" w:cs="宋体"/>
          <w:color w:val="0000ff"/>
          <w:highlight w:val="none"/>
        </w:rPr>
        <w:t xml:space="preserve">日上午9:30 （北京时间）</w:t>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2.开标地点：</w:t>
      </w:r>
      <w:r>
        <w:rPr>
          <w:rFonts w:hint="eastAsia" w:ascii="宋体" w:hAnsi="宋体" w:cs="宋体"/>
          <w:color w:val="auto"/>
          <w:szCs w:val="21"/>
          <w:highlight w:val="none"/>
        </w:rPr>
        <w:t xml:space="preserve">“苏采云”系统（网址：http：//jszfcg.jsczt.cn/）</w:t>
      </w:r>
      <w:r/>
    </w:p>
    <w:p>
      <w:pPr>
        <w:ind w:firstLine="422"/>
        <w:spacing w:line="360" w:lineRule="auto"/>
        <w:tabs>
          <w:tab w:val="left" w:pos="266" w:leader="none"/>
        </w:tabs>
        <w:rPr>
          <w:rFonts w:hint="eastAsia" w:ascii="宋体" w:hAnsi="宋体" w:cs="宋体"/>
          <w:b/>
          <w:bCs/>
          <w:color w:val="auto"/>
          <w:highlight w:val="none"/>
        </w:rPr>
      </w:pPr>
      <w:r/>
      <w:bookmarkStart w:id="24" w:name="_Toc38985267"/>
      <w:r/>
      <w:bookmarkStart w:id="25" w:name="_Toc28359007"/>
      <w:r/>
      <w:bookmarkStart w:id="26" w:name="_Toc35393794"/>
      <w:r/>
      <w:bookmarkStart w:id="27" w:name="_Toc35393625"/>
      <w:r/>
      <w:bookmarkStart w:id="28" w:name="_Toc28359084"/>
      <w:r>
        <w:rPr>
          <w:rFonts w:hint="eastAsia" w:ascii="宋体" w:hAnsi="宋体" w:cs="宋体"/>
          <w:b/>
          <w:bCs/>
          <w:color w:val="auto"/>
          <w:highlight w:val="none"/>
        </w:rPr>
        <w:t xml:space="preserve">五、公告期限</w:t>
      </w:r>
      <w:bookmarkEnd w:id="24"/>
      <w:r/>
      <w:bookmarkEnd w:id="25"/>
      <w:r/>
      <w:bookmarkEnd w:id="26"/>
      <w:r/>
      <w:bookmarkEnd w:id="27"/>
      <w:r/>
      <w:bookmarkEnd w:id="28"/>
      <w:r/>
      <w:r/>
    </w:p>
    <w:p>
      <w:pPr>
        <w:ind w:firstLine="420"/>
        <w:spacing w:line="360" w:lineRule="auto"/>
        <w:rPr>
          <w:rFonts w:hint="eastAsia" w:ascii="宋体" w:hAnsi="宋体" w:cs="宋体"/>
          <w:color w:val="auto"/>
          <w:highlight w:val="none"/>
        </w:rPr>
      </w:pPr>
      <w:r/>
      <w:bookmarkStart w:id="29" w:name="_Toc35393795"/>
      <w:r/>
      <w:bookmarkStart w:id="30" w:name="_Toc38985268"/>
      <w:r/>
      <w:bookmarkStart w:id="31" w:name="_Toc35393626"/>
      <w:r>
        <w:rPr>
          <w:rFonts w:hint="eastAsia" w:ascii="宋体" w:hAnsi="宋体" w:cs="宋体"/>
          <w:color w:val="auto"/>
          <w:highlight w:val="none"/>
        </w:rPr>
        <w:t xml:space="preserve">招标公告及招标文件公告期限为自本公告发布之日起5个工作日。</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六、其他补充事宜</w:t>
      </w:r>
      <w:bookmarkEnd w:id="29"/>
      <w:r/>
      <w:bookmarkEnd w:id="30"/>
      <w:r/>
      <w:bookmarkEnd w:id="31"/>
      <w:r/>
      <w:r/>
    </w:p>
    <w:p>
      <w:pPr>
        <w:ind w:firstLine="422"/>
        <w:spacing w:line="360" w:lineRule="auto"/>
        <w:rPr>
          <w:rFonts w:hint="eastAsia" w:ascii="宋体" w:hAnsi="宋体" w:cs="宋体"/>
          <w:b/>
          <w:bCs/>
          <w:color w:val="auto"/>
          <w:highlight w:val="none"/>
        </w:rPr>
      </w:pPr>
      <w:r/>
      <w:bookmarkStart w:id="32" w:name="_Toc38985269"/>
      <w:r/>
      <w:bookmarkStart w:id="33" w:name="_Toc35393627"/>
      <w:r/>
      <w:bookmarkStart w:id="34" w:name="_Toc28359085"/>
      <w:r/>
      <w:bookmarkStart w:id="35" w:name="_Toc28359008"/>
      <w:r/>
      <w:bookmarkStart w:id="36" w:name="_Toc35393796"/>
      <w:r>
        <w:rPr>
          <w:rFonts w:hint="eastAsia" w:ascii="宋体" w:hAnsi="宋体" w:cs="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w:t>
      </w:r>
      <w:r>
        <w:rPr>
          <w:rFonts w:hint="eastAsia" w:ascii="宋体" w:hAnsi="宋体" w:cs="宋体"/>
          <w:color w:val="auto"/>
          <w:highlight w:val="none"/>
        </w:rPr>
        <w:t xml:space="preserve">本次招标</w:t>
      </w:r>
      <w:r>
        <w:rPr>
          <w:rFonts w:hint="eastAsia" w:ascii="宋体" w:hAnsi="宋体" w:cs="宋体"/>
          <w:color w:val="auto"/>
          <w:highlight w:val="none"/>
          <w:u w:val="single"/>
        </w:rPr>
        <w:t xml:space="preserve">不收取</w:t>
      </w:r>
      <w:r>
        <w:rPr>
          <w:rFonts w:hint="eastAsia" w:ascii="宋体" w:hAnsi="宋体" w:cs="宋体"/>
          <w:color w:val="auto"/>
          <w:highlight w:val="none"/>
        </w:rPr>
        <w:t xml:space="preserve">投标保证金。</w:t>
      </w:r>
      <w:r/>
    </w:p>
    <w:p>
      <w:pPr>
        <w:ind w:firstLine="420"/>
        <w:spacing w:line="360" w:lineRule="auto"/>
        <w:rPr>
          <w:rFonts w:hint="eastAsia" w:ascii="宋体" w:hAnsi="宋体" w:cs="宋体"/>
          <w:bCs/>
          <w:color w:val="auto"/>
          <w:highlight w:val="none"/>
        </w:rPr>
      </w:pPr>
      <w:r>
        <w:rPr>
          <w:rFonts w:hint="eastAsia" w:ascii="宋体" w:hAnsi="宋体" w:cs="宋体"/>
          <w:color w:val="auto"/>
          <w:szCs w:val="21"/>
          <w:highlight w:val="none"/>
        </w:rPr>
        <w:t xml:space="preserve">4.</w:t>
      </w:r>
      <w:r>
        <w:rPr>
          <w:rFonts w:hint="eastAsia" w:ascii="宋体" w:hAnsi="宋体" w:cs="宋体"/>
          <w:bCs/>
          <w:color w:val="auto"/>
          <w:highlight w:val="none"/>
        </w:rPr>
        <w:t xml:space="preserve">有关本次招标的事项若存在变动或修改，敬请及时关注</w:t>
      </w:r>
      <w:r>
        <w:rPr>
          <w:rFonts w:hint="eastAsia" w:ascii="宋体" w:hAnsi="宋体" w:cs="宋体"/>
          <w:bCs/>
          <w:color w:val="auto"/>
          <w:szCs w:val="21"/>
          <w:highlight w:val="none"/>
        </w:rPr>
        <w:t xml:space="preserve">“扬州市政府采购网”、“江苏省政府采购网”和“中国政府采购网”</w:t>
      </w:r>
      <w:r>
        <w:rPr>
          <w:rFonts w:hint="eastAsia" w:ascii="宋体" w:hAnsi="宋体" w:cs="宋体"/>
          <w:bCs/>
          <w:color w:val="auto"/>
          <w:highlight w:val="none"/>
        </w:rPr>
        <w:t xml:space="preserve">发布的信息。</w:t>
      </w:r>
      <w:r/>
    </w:p>
    <w:p>
      <w:pPr>
        <w:ind w:firstLine="422"/>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
          <w:i/>
          <w:iCs/>
          <w:color w:val="auto"/>
          <w:highlight w:val="none"/>
          <w:u w:val="single"/>
        </w:rPr>
        <w:t xml:space="preserve">5.本项目招标文件中所有斜体下划线部分为实质性条款，如不满足，则为无效投标。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6.如在开标时间发生系统崩溃等不可预见的情况，造成开评标活动无法正常进行的，将延迟开评标，具体开评标时间另行通知。</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7.为落实好政府采购履约资金扶持政策，中标/成交供应商可凭政府采购合同办理融资贷款，详见江苏政府采购网“政采贷”专栏。</w:t>
      </w:r>
      <w:r/>
    </w:p>
    <w:p>
      <w:pPr>
        <w:ind w:firstLine="420"/>
        <w:spacing w:line="360" w:lineRule="auto"/>
        <w:tabs>
          <w:tab w:val="left" w:pos="266" w:leader="none"/>
        </w:tabs>
        <w:rPr>
          <w:rFonts w:hint="eastAsia" w:ascii="宋体" w:hAnsi="宋体" w:cs="宋体"/>
          <w:bCs/>
          <w:color w:val="auto"/>
          <w:highlight w:val="none"/>
        </w:rPr>
      </w:pPr>
      <w:r>
        <w:rPr>
          <w:rFonts w:hint="eastAsia" w:ascii="宋体" w:hAnsi="宋体" w:cs="宋体"/>
          <w:bCs/>
          <w:color w:val="auto"/>
          <w:highlight w:val="none"/>
        </w:rPr>
        <w:t xml:space="preserve">8.本项目严格执行政府采购关于支持节能产品</w:t>
      </w:r>
      <w:r>
        <w:rPr>
          <w:rFonts w:hint="eastAsia" w:ascii="宋体" w:hAnsi="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360" w:lineRule="auto"/>
        <w:tabs>
          <w:tab w:val="left" w:pos="266" w:leader="none"/>
        </w:tabs>
        <w:rPr>
          <w:rFonts w:hint="eastAsia" w:ascii="宋体" w:hAnsi="宋体" w:cs="宋体"/>
          <w:b/>
          <w:i/>
          <w:iCs/>
          <w:color w:val="auto"/>
          <w:highlight w:val="none"/>
          <w:u w:val="single"/>
        </w:rPr>
      </w:pPr>
      <w:r>
        <w:rPr>
          <w:rFonts w:hint="eastAsia" w:ascii="宋体" w:hAnsi="宋体" w:cs="宋体"/>
          <w:bCs/>
          <w:color w:val="auto"/>
          <w:highlight w:val="none"/>
        </w:rPr>
        <w:t xml:space="preserve">9.供应商对于所投产品的包装应按照“财办库〔2020〕123号《关于印发《商品包装政府采购需求标准（试行）》、《快递包装政府采购需求标准（试行）》的通知》”执行。</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rPr>
        <w:t xml:space="preserve">七、本次招标联系方式</w:t>
      </w:r>
      <w:bookmarkEnd w:id="32"/>
      <w:r/>
      <w:bookmarkEnd w:id="33"/>
      <w:r/>
      <w:bookmarkEnd w:id="34"/>
      <w:r/>
      <w:bookmarkEnd w:id="35"/>
      <w:r/>
      <w:bookmarkEnd w:id="36"/>
      <w:r/>
      <w:r/>
    </w:p>
    <w:p>
      <w:pPr>
        <w:ind w:firstLine="420"/>
        <w:jc w:val="left"/>
        <w:spacing w:line="360" w:lineRule="auto"/>
        <w:widowControl/>
        <w:rPr>
          <w:rFonts w:hint="eastAsia" w:ascii="宋体" w:hAnsi="宋体" w:cs="宋体"/>
          <w:color w:val="auto"/>
          <w:szCs w:val="21"/>
          <w:highlight w:val="none"/>
        </w:rPr>
      </w:pPr>
      <w:r/>
      <w:bookmarkStart w:id="37" w:name="_Toc28359087"/>
      <w:r/>
      <w:bookmarkStart w:id="38" w:name="_Toc28359010"/>
      <w:r>
        <w:rPr>
          <w:rFonts w:hint="eastAsia" w:ascii="宋体" w:hAnsi="宋体" w:cs="宋体"/>
          <w:color w:val="auto"/>
          <w:highlight w:val="none"/>
        </w:rPr>
        <w:t xml:space="preserve">1.采购人信息</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名 称：</w:t>
      </w:r>
      <w:r>
        <w:rPr>
          <w:rFonts w:hint="eastAsia" w:ascii="宋体" w:hAnsi="宋体" w:cs="宋体"/>
          <w:color w:val="auto"/>
          <w:szCs w:val="21"/>
          <w:highlight w:val="none"/>
        </w:rPr>
        <w:t xml:space="preserve">江苏省苏北人民医院</w:t>
      </w:r>
      <w:r/>
    </w:p>
    <w:p>
      <w:pPr>
        <w:ind w:firstLine="420"/>
        <w:jc w:val="left"/>
        <w:spacing w:line="360" w:lineRule="auto"/>
        <w:rPr>
          <w:rFonts w:hint="eastAsia" w:ascii="宋体" w:hAnsi="宋体" w:cs="宋体"/>
          <w:color w:val="auto"/>
          <w:highlight w:val="none"/>
        </w:rPr>
      </w:pPr>
      <w:r/>
      <w:bookmarkStart w:id="39" w:name="_Toc28359009"/>
      <w:r/>
      <w:bookmarkStart w:id="40" w:name="_Toc28359086"/>
      <w:r>
        <w:rPr>
          <w:rFonts w:hint="eastAsia" w:ascii="宋体" w:hAnsi="宋体" w:cs="宋体"/>
          <w:color w:val="auto"/>
          <w:highlight w:val="none"/>
        </w:rPr>
        <w:t xml:space="preserve">地 址：扬州市广陵区南通西路98号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联系人：丁老师</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highlight w:val="none"/>
        </w:rPr>
        <w:t xml:space="preserve">联系方式：0514-87373868 </w:t>
      </w:r>
      <w:r>
        <w:rPr>
          <w:rFonts w:hint="eastAsia" w:ascii="宋体" w:hAnsi="宋体" w:cs="宋体"/>
          <w:color w:val="auto"/>
          <w:szCs w:val="21"/>
          <w:highlight w:val="none"/>
        </w:rPr>
        <w:t xml:space="preserve"> </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2.采购代理机构信息</w:t>
      </w:r>
      <w:bookmarkEnd w:id="39"/>
      <w:r/>
      <w:bookmarkEnd w:id="40"/>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rPr>
          <w:rFonts w:hint="eastAsia" w:ascii="宋体" w:hAnsi="宋体" w:cs="宋体"/>
          <w:color w:val="auto"/>
          <w:szCs w:val="21"/>
          <w:highlight w:val="none"/>
        </w:rPr>
        <w:t xml:space="preserve">江苏苏维工程管理有限公司</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地　址：</w:t>
      </w:r>
      <w:r>
        <w:rPr>
          <w:rFonts w:hint="eastAsia" w:ascii="宋体" w:hAnsi="宋体" w:cs="宋体"/>
          <w:color w:val="auto"/>
          <w:szCs w:val="21"/>
          <w:highlight w:val="none"/>
        </w:rPr>
        <w:t xml:space="preserve">扬州市邗江区翠岗路48号</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联系人：</w:t>
      </w:r>
      <w:r>
        <w:rPr>
          <w:rFonts w:hint="eastAsia" w:ascii="宋体" w:hAnsi="宋体" w:cs="宋体"/>
          <w:color w:val="auto"/>
          <w:szCs w:val="21"/>
          <w:highlight w:val="none"/>
        </w:rPr>
        <w:t xml:space="preserve">孙玉君</w:t>
      </w:r>
      <w:r/>
    </w:p>
    <w:p>
      <w:pPr>
        <w:ind w:firstLine="420"/>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联系方式：</w:t>
      </w:r>
      <w:r>
        <w:rPr>
          <w:rFonts w:hint="eastAsia" w:ascii="宋体" w:hAnsi="宋体" w:cs="宋体"/>
          <w:color w:val="auto"/>
          <w:szCs w:val="21"/>
          <w:highlight w:val="none"/>
        </w:rPr>
        <w:t xml:space="preserve">0514-82129121</w:t>
      </w:r>
      <w:bookmarkEnd w:id="37"/>
      <w:r/>
      <w:bookmarkEnd w:id="38"/>
      <w:r/>
      <w:r/>
    </w:p>
    <w:p>
      <w:pPr>
        <w:pStyle w:val="915"/>
        <w:jc w:val="center"/>
        <w:rPr>
          <w:rFonts w:hint="eastAsia" w:ascii="宋体" w:hAnsi="宋体" w:cs="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1" w:name="_Toc55204178"/>
      <w:r/>
      <w:r/>
    </w:p>
    <w:p>
      <w:pPr>
        <w:pStyle w:val="680"/>
        <w:numPr>
          <w:ilvl w:val="0"/>
          <w:numId w:val="0"/>
        </w:numPr>
        <w:ind w:left="392"/>
        <w:rPr>
          <w:color w:val="auto"/>
          <w:highlight w:val="none"/>
        </w:rPr>
      </w:pPr>
      <w:r/>
      <w:bookmarkStart w:id="42" w:name="_Toc10032"/>
      <w:r>
        <w:rPr>
          <w:rFonts w:hint="eastAsia"/>
          <w:color w:val="auto"/>
          <w:highlight w:val="none"/>
        </w:rPr>
        <w:t xml:space="preserve">第二章 投标人须知</w:t>
      </w:r>
      <w:bookmarkEnd w:id="41"/>
      <w:r/>
      <w:bookmarkEnd w:id="42"/>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1.1 本次招标采取公开招标方式，本招标文件仅适用于</w:t>
      </w:r>
      <w:r>
        <w:rPr>
          <w:rFonts w:hint="eastAsia" w:ascii="宋体" w:hAnsi="宋体" w:cs="宋体"/>
          <w:bCs/>
          <w:color w:val="auto"/>
          <w:szCs w:val="21"/>
          <w:highlight w:val="none"/>
          <w:lang w:eastAsia="zh-CN"/>
        </w:rPr>
        <w:t xml:space="preserve">JSZC-321000-SWGC-G2025-0237</w:t>
      </w:r>
      <w:r>
        <w:rPr>
          <w:rFonts w:hint="eastAsia" w:ascii="宋体" w:hAnsi="宋体" w:cs="宋体"/>
          <w:bCs/>
          <w:color w:val="auto"/>
          <w:szCs w:val="21"/>
          <w:highlight w:val="none"/>
        </w:rPr>
        <w:t xml:space="preserve">号项目。</w:t>
      </w:r>
      <w:r/>
    </w:p>
    <w:p>
      <w:pPr>
        <w:ind w:firstLine="422"/>
        <w:spacing w:line="440" w:lineRule="exact"/>
        <w:rPr>
          <w:rFonts w:eastAsiaTheme="minorEastAsia"/>
          <w:color w:val="auto"/>
          <w:highlight w:val="none"/>
        </w:rPr>
      </w:pPr>
      <w:r>
        <w:rPr>
          <w:rFonts w:hint="eastAsia" w:ascii="宋体" w:hAnsi="宋体" w:cs="宋体"/>
          <w:b/>
          <w:color w:val="auto"/>
          <w:szCs w:val="21"/>
          <w:highlight w:val="none"/>
        </w:rPr>
        <w:t xml:space="preserve">2、投标人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hint="eastAsia"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4.2本次采购由中标人在领取中标通知书前参照《招标代理服务收费管理暂行办法》(计价格【2002】1980号文)货物类标准的四折一次性支付给招标代理机构代理服务费。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（2）代理服务费一次性以电汇或转账等非现金形式支付。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（3）代理服务费不在报价中单列，由中标人支付给代理机构。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代理服务费开户银行：中国工商银行扬州雍华府支行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开户名称：江苏苏维工程管理有限公司</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               开户账号：1108020819100000612</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4.3专家评审费按照《扬州市财政局关于进一步规范扬州市政府采购专家评审费标准的通知》（扬财购〔2020〕40号）执行。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11.4投标人应提交根据合同要求提供的证明服务质量合格以及符合招标文件规定的证明文件。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11.5证明投标人所提供服务与招标文件的要求相一致的文件可以是手册、图纸、文字资料和数据。</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12、投标配置与分项报价表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12.3有关费用处理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12.4其它费用处理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招标文件未列明，而投标人认为必需的费用也需列入报价。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12.5投标货币</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投标文件中的服务单价和总价无特殊规定的采用人民币报价，以元为单位标注。招标文件中另有规定的按规定执行。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12.6 投标配置与分项报价表上的价格应按下列方式分开填写：</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2、项目单价按投标配置及分项报价表中要求填报。</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13.4 详细阐述所投货物的主要组成部分、功能设计、实现思路及关键技术；</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13.5 投标人认为需要的其他技术文件或说明。</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14.1投标人的服务承诺应按不低于招标文件中商务要求的标准。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hint="eastAsia" w:ascii="宋体" w:hAnsi="宋体" w:cs="宋体"/>
          <w:b/>
          <w:color w:val="auto"/>
          <w:szCs w:val="21"/>
          <w:highlight w:val="none"/>
        </w:rPr>
      </w:pPr>
      <w:r/>
      <w:bookmarkStart w:id="43" w:name="_Toc462564084"/>
      <w:r/>
      <w:bookmarkStart w:id="44" w:name="_Toc20823297"/>
      <w:r/>
      <w:bookmarkStart w:id="45" w:name="_Toc16938541"/>
      <w:r/>
      <w:bookmarkStart w:id="46" w:name="_Toc513029225"/>
      <w:r>
        <w:rPr>
          <w:rFonts w:hint="eastAsia" w:ascii="宋体" w:hAnsi="宋体" w:cs="宋体"/>
          <w:b/>
          <w:color w:val="auto"/>
          <w:szCs w:val="21"/>
          <w:highlight w:val="none"/>
        </w:rPr>
        <w:t xml:space="preserve">17、投标文件</w:t>
      </w:r>
      <w:bookmarkEnd w:id="43"/>
      <w:r/>
      <w:bookmarkEnd w:id="44"/>
      <w:r/>
      <w:bookmarkEnd w:id="45"/>
      <w:r/>
      <w:bookmarkEnd w:id="46"/>
      <w:r>
        <w:rPr>
          <w:rFonts w:hint="eastAsia" w:ascii="宋体" w:hAnsi="宋体" w:cs="宋体"/>
          <w:b/>
          <w:color w:val="auto"/>
          <w:szCs w:val="21"/>
          <w:highlight w:val="none"/>
        </w:rPr>
        <w:t xml:space="preserve">的递交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7" w:name="_Toc513029226"/>
      <w:r/>
      <w:bookmarkStart w:id="48" w:name="_Toc20823298"/>
      <w:r/>
      <w:bookmarkStart w:id="49" w:name="_Toc16938542"/>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17.2政府采购管理交易系统（苏采云）相关要求是本招标文件的组成部分。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17.5投标人应对要求提供的资格证明文件（如资质证书、资格证书）、技术资料（如白皮书、彩页、手册、检测报告等）扫描上传至投标系统。</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17.7各投标人应在规定时间内凭CA证书进行网上解密。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7"/>
      <w:r/>
      <w:bookmarkEnd w:id="48"/>
      <w:r/>
      <w:bookmarkEnd w:id="49"/>
      <w:r/>
      <w:r/>
    </w:p>
    <w:p>
      <w:pPr>
        <w:ind w:firstLine="420"/>
        <w:spacing w:line="360" w:lineRule="auto"/>
        <w:rPr>
          <w:rFonts w:hint="eastAsia"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hint="eastAsia" w:ascii="宋体" w:hAnsi="宋体" w:cs="宋体"/>
          <w:b/>
          <w:color w:val="auto"/>
          <w:szCs w:val="21"/>
          <w:highlight w:val="none"/>
        </w:rPr>
      </w:pPr>
      <w:r/>
      <w:bookmarkStart w:id="50" w:name="_Toc16938543"/>
      <w:r/>
      <w:bookmarkStart w:id="51" w:name="_Toc20823299"/>
      <w:r/>
      <w:bookmarkStart w:id="52" w:name="_Toc513029227"/>
      <w:r>
        <w:rPr>
          <w:rFonts w:hint="eastAsia" w:ascii="宋体" w:hAnsi="宋体" w:cs="宋体"/>
          <w:b/>
          <w:color w:val="auto"/>
          <w:szCs w:val="21"/>
          <w:highlight w:val="none"/>
        </w:rPr>
        <w:t xml:space="preserve">19、投标文件</w:t>
      </w:r>
      <w:bookmarkEnd w:id="50"/>
      <w:r/>
      <w:bookmarkEnd w:id="51"/>
      <w:r/>
      <w:bookmarkEnd w:id="52"/>
      <w:r>
        <w:rPr>
          <w:rFonts w:hint="eastAsia" w:ascii="宋体" w:hAnsi="宋体" w:cs="宋体"/>
          <w:b/>
          <w:color w:val="auto"/>
          <w:szCs w:val="21"/>
          <w:highlight w:val="none"/>
        </w:rPr>
        <w:t xml:space="preserve">的拒收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360" w:lineRule="auto"/>
        <w:rPr>
          <w:rFonts w:hint="eastAsia" w:ascii="宋体" w:hAnsi="宋体" w:cs="宋体"/>
          <w:b/>
          <w:color w:val="auto"/>
          <w:szCs w:val="21"/>
          <w:highlight w:val="none"/>
        </w:rPr>
      </w:pPr>
      <w:r/>
      <w:bookmarkStart w:id="53" w:name="_Toc513029228"/>
      <w:r/>
      <w:bookmarkStart w:id="54" w:name="_Toc20823300"/>
      <w:r/>
      <w:bookmarkStart w:id="55" w:name="_Toc16938544"/>
      <w:r>
        <w:rPr>
          <w:rFonts w:hint="eastAsia" w:ascii="宋体" w:hAnsi="宋体" w:cs="宋体"/>
          <w:b/>
          <w:color w:val="auto"/>
          <w:szCs w:val="21"/>
          <w:highlight w:val="none"/>
        </w:rPr>
        <w:t xml:space="preserve">20、投标文件的撤回和修改</w:t>
      </w:r>
      <w:bookmarkEnd w:id="53"/>
      <w:r/>
      <w:bookmarkEnd w:id="54"/>
      <w:r/>
      <w:bookmarkEnd w:id="55"/>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21.2开标仪式由代理机构组织。“政府采购管理交易系统（苏采云）”将自动对项目进行开标，并宣读各投标人的《开标一览表》。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21.3投标人在开标过程中涉及到的投标文件解密、开标结果确认等工作，应按照《操作手册》规定执行。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22、评标委员会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22.1 开标后，代理机构将立即组织评标委员会（以下简称评委会）进行评标。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 评委会由采购人代表和有关技术、经济等方面的专家组成，且人员构成符合政府采购有关规定。</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22.3评委会独立工作，负责评审所有投标文件并确定中标候选人。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24.3 接到评委会澄清要求的投标人如未按规定做出澄清，其风险由投标人自行承担。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jc w:val="left"/>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hint="eastAsia" w:ascii="宋体" w:hAnsi="宋体" w:cs="宋体"/>
          <w:bCs/>
          <w:color w:val="auto"/>
          <w:szCs w:val="21"/>
          <w:highlight w:val="none"/>
        </w:rPr>
      </w:pPr>
      <w:r/>
      <w:bookmarkStart w:id="56" w:name="_Hlk183094183"/>
      <w:r>
        <w:rPr>
          <w:rFonts w:hint="eastAsia" w:ascii="宋体" w:hAnsi="宋体" w:cs="宋体"/>
          <w:bCs/>
          <w:color w:val="auto"/>
          <w:szCs w:val="21"/>
          <w:highlight w:val="none"/>
        </w:rPr>
        <w:t xml:space="preserve">非单一产品采购项目，招标文件中将载明其中的核心产品</w:t>
      </w:r>
      <w:r>
        <w:rPr>
          <w:rFonts w:hint="eastAsia" w:ascii="宋体" w:hAnsi="宋体" w:cs="宋体"/>
          <w:b/>
          <w:bCs/>
          <w:color w:val="auto"/>
          <w:szCs w:val="21"/>
          <w:highlight w:val="none"/>
          <w:u w:val="single"/>
        </w:rPr>
        <w:t xml:space="preserve">（本项目的核心产品为“普通病房床头分机”）</w:t>
      </w:r>
      <w:r>
        <w:rPr>
          <w:rFonts w:hint="eastAsia" w:ascii="宋体" w:hAnsi="宋体" w:cs="宋体"/>
          <w:bCs/>
          <w:color w:val="auto"/>
          <w:szCs w:val="21"/>
          <w:highlight w:val="none"/>
        </w:rPr>
        <w:t xml:space="preserve">。</w:t>
      </w:r>
      <w:bookmarkEnd w:id="56"/>
      <w:r>
        <w:rPr>
          <w:rFonts w:hint="eastAsia" w:ascii="宋体" w:hAnsi="宋体" w:cs="宋体"/>
          <w:bCs/>
          <w:color w:val="auto"/>
          <w:szCs w:val="21"/>
          <w:highlight w:val="none"/>
        </w:rPr>
        <w:t xml:space="preserve">多家投标人提供的核心产品品牌相同的，按前两款规定处理。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25.8 投标人在开、评标全过程中应保持通讯畅通，并安排专人与代理机构及评委会联系。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 异常低价投标（响应）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26.1.6.1投标（响应）报价低于采购项目预算 50% 的，即投标（响应）报价&lt;采购项目预算×50%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26.1.6.2投标（响应）报价低于采购项目最高限价 45% 的，即投标（响应）报价&lt;采购项目最高限价×45%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26.1.6.3评审委员会认定的供应商报价过低、有可能影响产品质量或者不能诚信履约的其他情形。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26.1.6.4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26.1.7未通过符合性审查的。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26.1.8不符合招标文件中规定的其他实质性要求和条件的（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26.1.9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26.1.10  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26.1.11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26.1.12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26.1.13投标文件未按照招标文件要求加盖电子签章。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26.1.14其他法律、法规及本招标文件规定的属无效投标的情形。</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27.3代理机构将在“扬州市政府采购网”、“江苏省政府采购网”和“中国政府采购网”发布中标公告，公告期限为1个工作日。</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27.5.5.1不同投标人的投标文件由同一单位或者个人编制。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经查实，不同投标人的电子投标文件出自同一台电脑的：不同投标人的标书制作工具客户端标识码存在一致的；不同投标人从同一互联网协议地址上传投标文件的。</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28.2.2对采购过程提出质疑的，为各采购程序环节结束之日起7个工作日内提出。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28.2.3对中标结果提出质疑的，为中标结果公告期限届满之日起7个工作日内提出。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代理机构及采购人只接收以纸质原件形式送达的质疑，同时需与采购代理机构经办人确认是否收到《质疑函》，如供应商未按上述要求去做，将自行承担所产生的风险。</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30.l中标人应在中标通知书发出之日起三十日内，按照招标文件确定的事项与采购人签订政府采购合同。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 </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31、电子投标文件要求</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31.1政府采购管理交易系统（苏采云）相关要求是本招标文件的组成部分。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31.2投标人应对 CA 证书妥善保管，如被他人盗用投标，因此带来的结果均由投标人自行承担。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31.3投标人应当对招标文件提出的要求和条件作出实质性响应，并在电子投标系统逐条应答。</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提交投标文件的截止时间（投标截止时间）</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0"/>
        <w:spacing w:line="360" w:lineRule="auto"/>
        <w:rPr>
          <w:rFonts w:hint="eastAsia" w:ascii="宋体" w:hAnsi="宋体" w:cs="宋体"/>
          <w:bCs/>
          <w:color w:val="auto"/>
          <w:highlight w:val="none"/>
        </w:rPr>
      </w:pPr>
      <w:r>
        <w:rPr>
          <w:rFonts w:hint="eastAsia" w:ascii="宋体" w:hAnsi="宋体" w:cs="宋体"/>
          <w:bCs/>
          <w:color w:val="auto"/>
          <w:szCs w:val="21"/>
          <w:highlight w:val="none"/>
        </w:rPr>
        <w:t xml:space="preserve">32.2各投标人应在规定时间内凭CA证书进行网上解密。</w:t>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33、其他</w:t>
      </w:r>
      <w:r/>
    </w:p>
    <w:p>
      <w:pPr>
        <w:ind w:firstLine="420"/>
        <w:spacing w:line="360" w:lineRule="auto"/>
        <w:rPr>
          <w:rFonts w:hint="eastAsia" w:ascii="宋体" w:hAnsi="宋体" w:cs="宋体"/>
          <w:bCs/>
          <w:color w:val="auto"/>
          <w:szCs w:val="21"/>
          <w:highlight w:val="none"/>
        </w:rPr>
      </w:pPr>
      <w:r>
        <w:rPr>
          <w:rFonts w:hint="eastAsia" w:ascii="宋体" w:hAnsi="宋体" w:cs="宋体"/>
          <w:color w:val="auto"/>
          <w:highlight w:val="none"/>
        </w:rPr>
        <w:t xml:space="preserve">33.1 依据《政府采购促进中小企业发展管理办法》享受享受扶持政策获得政府采购合同的，小微企业不得将合同分包给大中型企业，中型企业不得将合同分包给大型企业。</w:t>
      </w:r>
      <w:r/>
    </w:p>
    <w:p>
      <w:pPr>
        <w:ind w:firstLine="420"/>
        <w:spacing w:line="440" w:lineRule="exact"/>
        <w:rPr>
          <w:rFonts w:hint="eastAsia" w:ascii="宋体" w:hAnsi="宋体" w:cs="宋体"/>
          <w:bCs/>
          <w:color w:val="auto"/>
          <w:szCs w:val="21"/>
          <w:highlight w:val="none"/>
        </w:rPr>
      </w:pPr>
      <w:r>
        <w:rPr>
          <w:rFonts w:hint="eastAsia" w:ascii="宋体" w:hAnsi="宋体" w:cs="宋体"/>
          <w:bCs/>
          <w:color w:val="auto"/>
          <w:szCs w:val="21"/>
          <w:highlight w:val="none"/>
        </w:rPr>
        <w:br w:type="page" w:clear="all"/>
      </w:r>
      <w:r/>
    </w:p>
    <w:p>
      <w:pPr>
        <w:pStyle w:val="680"/>
        <w:numPr>
          <w:ilvl w:val="0"/>
          <w:numId w:val="0"/>
        </w:numPr>
        <w:ind w:left="392"/>
        <w:rPr>
          <w:color w:val="auto"/>
          <w:highlight w:val="none"/>
        </w:rPr>
      </w:pPr>
      <w:r/>
      <w:bookmarkStart w:id="57" w:name="_Toc55204179"/>
      <w:r/>
      <w:bookmarkStart w:id="58" w:name="_Toc18427"/>
      <w:r/>
      <w:bookmarkStart w:id="59" w:name="_Hlk69392822"/>
      <w:r>
        <w:rPr>
          <w:rFonts w:hint="eastAsia"/>
          <w:color w:val="auto"/>
          <w:highlight w:val="none"/>
        </w:rPr>
        <w:t xml:space="preserve">第三章 合同条款及格式</w:t>
      </w:r>
      <w:bookmarkEnd w:id="57"/>
      <w:r/>
      <w:bookmarkEnd w:id="58"/>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927"/>
        <w:ind w:firstLine="422"/>
        <w:jc w:val="center"/>
        <w:spacing w:line="360" w:lineRule="auto"/>
        <w:rPr>
          <w:rFonts w:hint="eastAsia" w:hAnsi="宋体" w:cs="宋体"/>
          <w:b/>
          <w:bCs/>
          <w:color w:val="auto"/>
          <w:sz w:val="21"/>
          <w:highlight w:val="none"/>
        </w:rPr>
      </w:pPr>
      <w:r>
        <w:rPr>
          <w:rFonts w:hint="eastAsia" w:hAnsi="宋体" w:cs="宋体"/>
          <w:b/>
          <w:bCs/>
          <w:color w:val="auto"/>
          <w:sz w:val="21"/>
          <w:highlight w:val="none"/>
        </w:rPr>
      </w:r>
      <w:r/>
    </w:p>
    <w:p>
      <w:pPr>
        <w:pStyle w:val="927"/>
        <w:ind w:firstLine="422"/>
        <w:jc w:val="center"/>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扬州市政府采购合同（合同编号）</w:t>
      </w:r>
      <w:r/>
    </w:p>
    <w:p>
      <w:pPr>
        <w:pStyle w:val="927"/>
        <w:ind w:firstLine="420"/>
        <w:spacing w:line="360" w:lineRule="auto"/>
        <w:rPr>
          <w:rFonts w:hint="eastAsia" w:hAnsi="宋体" w:eastAsia="宋体" w:cs="宋体"/>
          <w:color w:val="auto"/>
          <w:sz w:val="21"/>
          <w:highlight w:val="none"/>
          <w:lang w:eastAsia="zh-CN"/>
        </w:rPr>
      </w:pPr>
      <w:r>
        <w:rPr>
          <w:rFonts w:hint="eastAsia" w:hAnsi="宋体" w:cs="宋体"/>
          <w:color w:val="auto"/>
          <w:sz w:val="21"/>
          <w:highlight w:val="none"/>
        </w:rPr>
        <w:t xml:space="preserve">项目名称：</w:t>
      </w:r>
      <w:r>
        <w:rPr>
          <w:rFonts w:hint="eastAsia" w:hAnsi="宋体" w:cs="宋体"/>
          <w:color w:val="auto"/>
          <w:sz w:val="21"/>
          <w:highlight w:val="none"/>
          <w:lang w:eastAsia="zh-CN"/>
        </w:rPr>
        <w:t xml:space="preserve">江苏省苏北人民医院智慧病房项目建设（二次）</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项目编号：</w:t>
      </w:r>
      <w:r>
        <w:rPr>
          <w:rFonts w:hint="eastAsia" w:hAnsi="宋体" w:cs="宋体"/>
          <w:color w:val="auto"/>
          <w:sz w:val="21"/>
          <w:highlight w:val="none"/>
          <w:lang w:eastAsia="zh-CN"/>
        </w:rPr>
        <w:t xml:space="preserve">JSZC-321000-SWGC-G2025-0237</w:t>
      </w:r>
      <w:r>
        <w:rPr>
          <w:rFonts w:hint="eastAsia" w:hAnsi="宋体" w:cs="宋体"/>
          <w:color w:val="auto"/>
          <w:sz w:val="21"/>
          <w:highlight w:val="none"/>
        </w:rPr>
        <w:t xml:space="preserve">号</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甲方：（买方）江苏省苏北人民医院</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乙方：（卖方）_________</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甲、乙双方根据江苏苏维工程管理有限公司</w:t>
      </w:r>
      <w:r>
        <w:rPr>
          <w:rFonts w:hint="eastAsia" w:hAnsi="宋体" w:cs="宋体"/>
          <w:color w:val="auto"/>
          <w:sz w:val="21"/>
          <w:highlight w:val="none"/>
          <w:u w:val="single"/>
        </w:rPr>
        <w:t xml:space="preserve">           </w:t>
      </w:r>
      <w:r>
        <w:rPr>
          <w:rFonts w:hint="eastAsia" w:hAnsi="宋体" w:cs="宋体"/>
          <w:color w:val="auto"/>
          <w:sz w:val="21"/>
          <w:highlight w:val="none"/>
        </w:rPr>
        <w:t xml:space="preserve">项目公开招标的结果，签署本合同。</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一、货物及伴随服务</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 货物及服务名称：</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 型号规格：</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 数量（单位）</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二、合同金额</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2.1 本合同金额为（大写）：_____________圆（_______________元）人民币。</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三、技术资料</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3.1乙方应按招标文件规定的时间向甲方提供使用货物及服务的有关技术资料。</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四、知识产权</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五、产权担保</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5.1 乙方保证所交付的货物及服务的所有权完全属于乙方且无任何抵押、查封等产权瑕疵。</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六、履约保证金</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6.1 收取履约保证金的，允许中标人自主选择支票、汇票、本票、保函等非现金形式缴纳或提交，应当在采购合同中约定履约保证金退还的方式、时间、条件和不予退还的情形，明确逾期退还履约保证金的违约责任。</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6.4 履约保证金收取：</w:t>
      </w:r>
      <w:r>
        <w:rPr>
          <w:rFonts w:hint="eastAsia" w:hAnsi="宋体" w:cs="宋体"/>
          <w:color w:val="auto"/>
          <w:sz w:val="21"/>
          <w:highlight w:val="none"/>
          <w:u w:val="single"/>
        </w:rPr>
        <w:t xml:space="preserve">无</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七、转包或分包</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7.1本合同范围的货物及服务，应由乙方直接供应，不得转让他人供应；</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7.2 除非得到甲方的书面同意，乙方不得部分分包给他人供应。</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7.3如有转让和未经甲方同意的分包行为，甲方有权给予终止合同。</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八、质保期</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8.1 质保期</w:t>
      </w:r>
      <w:r>
        <w:rPr>
          <w:rFonts w:hint="eastAsia" w:hAnsi="宋体" w:cs="宋体"/>
          <w:color w:val="auto"/>
          <w:sz w:val="21"/>
          <w:highlight w:val="none"/>
          <w:u w:val="single"/>
        </w:rPr>
        <w:t xml:space="preserve">    </w:t>
      </w:r>
      <w:r>
        <w:rPr>
          <w:rFonts w:hint="eastAsia" w:hAnsi="宋体" w:cs="宋体"/>
          <w:color w:val="auto"/>
          <w:sz w:val="21"/>
          <w:highlight w:val="none"/>
        </w:rPr>
        <w:t xml:space="preserve">年。（自交货验收合格之日起计）</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九、交付期、交付方式及交付地点</w:t>
      </w:r>
      <w:r/>
    </w:p>
    <w:p>
      <w:pPr>
        <w:pStyle w:val="927"/>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9.1 交付期：</w:t>
      </w:r>
      <w:r>
        <w:rPr>
          <w:rFonts w:hint="eastAsia" w:hAnsi="宋体" w:cs="宋体"/>
          <w:color w:val="auto"/>
          <w:sz w:val="21"/>
          <w:highlight w:val="none"/>
          <w:u w:val="single"/>
        </w:rPr>
        <w:t xml:space="preserve">            </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9.2 交付方式：</w:t>
      </w:r>
      <w:r>
        <w:rPr>
          <w:rFonts w:hint="eastAsia" w:hAnsi="宋体" w:cs="宋体"/>
          <w:color w:val="auto"/>
          <w:sz w:val="21"/>
          <w:highlight w:val="none"/>
          <w:u w:val="single"/>
        </w:rPr>
        <w:t xml:space="preserve">甲方指定方式</w:t>
      </w:r>
      <w:r/>
    </w:p>
    <w:p>
      <w:pPr>
        <w:pStyle w:val="927"/>
        <w:ind w:firstLine="420"/>
        <w:spacing w:line="360" w:lineRule="auto"/>
        <w:rPr>
          <w:rFonts w:hint="eastAsia" w:hAnsi="宋体" w:cs="宋体"/>
          <w:color w:val="auto"/>
          <w:sz w:val="21"/>
          <w:highlight w:val="none"/>
          <w:u w:val="single"/>
        </w:rPr>
      </w:pPr>
      <w:r>
        <w:rPr>
          <w:rFonts w:hint="eastAsia" w:hAnsi="宋体" w:cs="宋体"/>
          <w:color w:val="auto"/>
          <w:sz w:val="21"/>
          <w:highlight w:val="none"/>
        </w:rPr>
        <w:t xml:space="preserve">9.3 交付地点：</w:t>
      </w:r>
      <w:r>
        <w:rPr>
          <w:rFonts w:hint="eastAsia" w:hAnsi="宋体" w:cs="宋体"/>
          <w:color w:val="auto"/>
          <w:sz w:val="21"/>
          <w:highlight w:val="none"/>
          <w:u w:val="single"/>
        </w:rPr>
        <w:t xml:space="preserve">甲方指定地点</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十、货款支付</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10.3 甲方付款方式：</w:t>
      </w:r>
      <w:r/>
    </w:p>
    <w:p>
      <w:pPr>
        <w:pStyle w:val="927"/>
        <w:ind w:firstLine="420"/>
        <w:spacing w:line="360" w:lineRule="auto"/>
        <w:rPr>
          <w:rFonts w:hint="eastAsia" w:hAnsi="宋体" w:cs="宋体"/>
          <w:color w:val="auto"/>
          <w:sz w:val="21"/>
          <w:highlight w:val="none"/>
          <w:u w:val="single"/>
        </w:rPr>
      </w:pPr>
      <w:r>
        <w:rPr>
          <w:rFonts w:hint="eastAsia" w:hAnsi="宋体" w:cs="宋体"/>
          <w:color w:val="auto"/>
          <w:sz w:val="21"/>
          <w:highlight w:val="none"/>
          <w:u w:val="single"/>
        </w:rPr>
        <w:t xml:space="preserve">合同签订后，乙方向甲方开具发票，甲方自收到发票之日起10个工作日内支付合同总价30%的预付款；</w:t>
      </w:r>
      <w:r/>
    </w:p>
    <w:p>
      <w:pPr>
        <w:pStyle w:val="927"/>
        <w:ind w:firstLine="420"/>
        <w:spacing w:line="360" w:lineRule="auto"/>
        <w:rPr>
          <w:rFonts w:hint="eastAsia" w:hAnsi="宋体" w:cs="宋体"/>
          <w:color w:val="auto"/>
          <w:sz w:val="21"/>
          <w:highlight w:val="none"/>
          <w:u w:val="single"/>
        </w:rPr>
      </w:pPr>
      <w:r>
        <w:rPr>
          <w:rFonts w:hint="eastAsia" w:hAnsi="宋体" w:cs="宋体"/>
          <w:color w:val="auto"/>
          <w:sz w:val="21"/>
          <w:highlight w:val="none"/>
          <w:u w:val="single"/>
        </w:rPr>
        <w:t xml:space="preserve">设备安装调试后，乙方向甲方开具发票，甲方自收到发票之日起10个工作日内支付合同总价的60%；</w:t>
      </w:r>
      <w:r/>
    </w:p>
    <w:p>
      <w:pPr>
        <w:pStyle w:val="927"/>
        <w:ind w:firstLine="420"/>
        <w:spacing w:line="360" w:lineRule="auto"/>
        <w:rPr>
          <w:rFonts w:hint="eastAsia" w:hAnsi="宋体" w:cs="宋体"/>
          <w:color w:val="auto"/>
          <w:sz w:val="21"/>
          <w:highlight w:val="none"/>
          <w:u w:val="single"/>
        </w:rPr>
      </w:pPr>
      <w:r>
        <w:rPr>
          <w:rFonts w:hint="eastAsia" w:hAnsi="宋体" w:cs="宋体"/>
          <w:color w:val="auto"/>
          <w:sz w:val="21"/>
          <w:highlight w:val="none"/>
          <w:u w:val="single"/>
        </w:rPr>
        <w:t xml:space="preserve">一年后，乙方向甲方开具发票，甲方自接到发票之日起10个工作日内付清尾款。</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十一、税费</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11.1本合同执行中相关的一切税费均由乙方负担。</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十二、质量保证及售后服务</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12.1 乙方应按招标文件规定的货物及服务性能、技术要求、质量标准向甲方提供。</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12.2 乙方提供的货物及服务在质量期内因服务及产品本身的质量问题发生故障，乙方应负责免费更换。对达不到技术要求者，根据实际情况，经双方协商，可按以下办法处理：</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⑴更换：由乙方承担所发生的全部费用。</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⑵贬值处理：由甲乙双方合议定价。</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⑶退还处理：乙方应退还甲方支付的合同款，同时应承担该货物及服务的直接费用（运输、保险、检验、款项利息及银行手续费等）。</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12.3 如在使用过程中发生质量问题，乙方在接到甲方通知后在</w:t>
      </w:r>
      <w:r>
        <w:rPr>
          <w:rFonts w:hint="eastAsia" w:hAnsi="宋体" w:cs="宋体"/>
          <w:color w:val="auto"/>
          <w:sz w:val="21"/>
          <w:highlight w:val="none"/>
          <w:u w:val="single"/>
        </w:rPr>
        <w:t xml:space="preserve">   </w:t>
      </w:r>
      <w:r>
        <w:rPr>
          <w:rFonts w:hint="eastAsia" w:hAnsi="宋体" w:cs="宋体"/>
          <w:color w:val="auto"/>
          <w:sz w:val="21"/>
          <w:highlight w:val="none"/>
        </w:rPr>
        <w:t xml:space="preserve">小时内到达甲方现场。</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12.4 在质保期内，乙方应对货物及服务出现的质量及安全问题负责处理解决并承担一切费用。</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12.5上述的货物及服务免费保修期为</w:t>
      </w:r>
      <w:r>
        <w:rPr>
          <w:rFonts w:hint="eastAsia" w:hAnsi="宋体" w:cs="宋体"/>
          <w:color w:val="auto"/>
          <w:sz w:val="21"/>
          <w:highlight w:val="none"/>
          <w:u w:val="single"/>
        </w:rPr>
        <w:t xml:space="preserve">      </w:t>
      </w:r>
      <w:r>
        <w:rPr>
          <w:rFonts w:hint="eastAsia" w:hAnsi="宋体" w:cs="宋体"/>
          <w:color w:val="auto"/>
          <w:sz w:val="21"/>
          <w:highlight w:val="none"/>
        </w:rPr>
        <w:t xml:space="preserve">年，因人为因素出现的故障不在免费保修范围内。超过保修期的机器设备，终生维修，维修时只收部件成本费。</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十三、调试和验收</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13.2 乙方交付前应对货物及服务作出全面检查和对验收文件进行整理，并列出清单，作为甲方交付验收和使用的技术条件依据，检验的结果应随货物及服务交甲方。</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13.3 甲方对乙方提供的货物及服务在使用前进行调试时，乙方需负责安装并培训甲方的使用操作人员，并协助甲方一起调试，直到符合技术要求，甲方才做最终验收。</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13.4 对技术复杂的货物及服务，甲方可请国家认可的专业检测机构参与初步验收及最终验收，并由其出具质量检测报告。</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13.5 验收时乙方必须在现场，验收完毕后作出验收结果报告；验收费用由甲乙双方协商解决。</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十四、货物及服务包装、发运及运输</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14.1 乙方应在货物及服务发运前对其进行满足运输距离、防潮、防震、防锈和防破损装卸等要求包装，以保证货物及服务安全运达甲方指定地点。</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14.2 使用说明书、质量检验证明书、随配附件和工具以及清单一并交付甲方。</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14.3 乙方在货物及服务发运手续办理完毕后24小时内或交付到甲方48小时前通知甲方，以准备接受交付。</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14.4 货物在交付甲方前发生的风险均由乙方负责。</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14.5 货物及服务在规定的交付期限内由乙方送达甲方指定的地点视为交付，乙方同时需通知甲方货物及服务已送达。</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十五、违约责任</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15.1 甲方无正当理由拒收货物及服务的，甲方向乙方偿付拒收款项总值的百分之五违约金。</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15.2 甲方无故逾期验收和办理款项支付手续的,甲方应按逾期付款总额每日万分之五向乙方支付违约金。</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15.5 因乙方所提供产品的安装、调试或运行，对甲方病区的医疗秩序、环境卫生、患者安全或设备设施造成重大不利影响的，视为乙方违约。甲方有权单方解除本合同，并要求乙方承担由此给甲方造成的全部直接和间接损失，包括但不限于甲方为处理该影响所支出的费用、对第三方的赔偿、以及甲方因此遭受的预期利益损失。</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十六、不可抗力事件处理</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16.1 在合同有效期内，任何一方因不可抗力事件导致不能履行合同，则合同履行期可延长，其延长期与不可抗力影响期相同。</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16.2 不可抗力事件发生后，应立即通知对方，并寄送有关权威机构出具的证明。</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16.3 不可抗力事件延续120天以上，双方应通过友好协商，确定是否继续履行合同。</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十七、诉讼</w:t>
      </w:r>
      <w:r/>
    </w:p>
    <w:p>
      <w:pPr>
        <w:pStyle w:val="927"/>
        <w:ind w:firstLine="420"/>
        <w:spacing w:line="360" w:lineRule="auto"/>
        <w:rPr>
          <w:rFonts w:hint="eastAsia" w:hAnsi="宋体" w:cs="宋体"/>
          <w:color w:val="auto"/>
          <w:sz w:val="21"/>
          <w:highlight w:val="none"/>
        </w:rPr>
      </w:pPr>
      <w:r>
        <w:rPr>
          <w:rFonts w:hint="eastAsia" w:hAnsi="宋体" w:cs="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十八、</w:t>
      </w:r>
      <w:r>
        <w:rPr>
          <w:rFonts w:hint="eastAsia" w:ascii="宋体" w:hAnsi="宋体" w:cs="宋体"/>
          <w:bCs/>
          <w:color w:val="auto"/>
          <w:szCs w:val="21"/>
          <w:highlight w:val="none"/>
        </w:rPr>
        <w:t xml:space="preserve">为落实好政府采购履约资金扶持政策，乙方可凭政府采购合同办理融资贷款，详见江苏政府采购网“政采贷”专栏</w:t>
      </w:r>
      <w:r>
        <w:rPr>
          <w:rFonts w:hint="eastAsia" w:ascii="宋体" w:hAnsi="宋体" w:cs="宋体"/>
          <w:color w:val="auto"/>
          <w:szCs w:val="21"/>
          <w:highlight w:val="none"/>
        </w:rPr>
        <w:t xml:space="preserve">。</w:t>
      </w:r>
      <w:r/>
    </w:p>
    <w:p>
      <w:pPr>
        <w:pStyle w:val="927"/>
        <w:ind w:firstLine="422"/>
        <w:spacing w:line="360" w:lineRule="auto"/>
        <w:rPr>
          <w:rFonts w:hint="eastAsia" w:hAnsi="宋体" w:cs="宋体"/>
          <w:b/>
          <w:bCs/>
          <w:color w:val="auto"/>
          <w:sz w:val="21"/>
          <w:highlight w:val="none"/>
        </w:rPr>
      </w:pPr>
      <w:r>
        <w:rPr>
          <w:rFonts w:hint="eastAsia" w:hAnsi="宋体" w:cs="宋体"/>
          <w:b/>
          <w:bCs/>
          <w:color w:val="auto"/>
          <w:sz w:val="21"/>
          <w:highlight w:val="none"/>
        </w:rPr>
        <w:t xml:space="preserve">十九、合同生效及其它</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19.1 合同经双方法定代表人签章并加盖单位公章后生效。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19.2本合同未尽事宜，遵照《中华人民共和国民法典》有关条文执行。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19.3 本合同正本一式四份，具有同等法律效力，甲方、乙方各执两份。  </w:t>
      </w:r>
      <w:r/>
    </w:p>
    <w:tbl>
      <w:tblPr>
        <w:tblStyle w:val="690"/>
        <w:tblW w:w="8379" w:type="dxa"/>
        <w:tblInd w:w="27" w:type="dxa"/>
        <w:tblLayout w:type="fixed"/>
        <w:tblCellMar>
          <w:left w:w="108" w:type="dxa"/>
          <w:top w:w="0" w:type="dxa"/>
          <w:right w:w="108" w:type="dxa"/>
          <w:bottom w:w="0" w:type="dxa"/>
        </w:tblCellMar>
        <w:tblLook w:val="04A0" w:firstRow="1" w:lastRow="0" w:firstColumn="1" w:lastColumn="0" w:noHBand="0" w:noVBand="1"/>
      </w:tblPr>
      <w:tblGrid>
        <w:gridCol w:w="4212"/>
        <w:gridCol w:w="4167"/>
      </w:tblGrid>
      <w:tr>
        <w:trPr>
          <w:trHeight w:val="16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2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甲方：江苏省苏北人民医院</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2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乙方：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2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2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地址： </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2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2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法定代表人或授权代表：</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2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2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联系电话：</w:t>
            </w:r>
            <w:r/>
          </w:p>
        </w:tc>
      </w:tr>
      <w:tr>
        <w:trPr>
          <w:trHeight w:val="90"/>
        </w:trPr>
        <w:tc>
          <w:tcPr>
            <w:tcBorders>
              <w:top w:val="none" w:color="000000" w:sz="4" w:space="0"/>
              <w:left w:val="none" w:color="000000" w:sz="4" w:space="0"/>
              <w:bottom w:val="none" w:color="000000" w:sz="4" w:space="0"/>
              <w:right w:val="none" w:color="000000" w:sz="4" w:space="0"/>
            </w:tcBorders>
            <w:tcW w:w="4212" w:type="dxa"/>
            <w:textDirection w:val="lrTb"/>
            <w:noWrap w:val="false"/>
          </w:tcPr>
          <w:p>
            <w:pPr>
              <w:pStyle w:val="92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167" w:type="dxa"/>
            <w:textDirection w:val="lrTb"/>
            <w:noWrap w:val="false"/>
          </w:tcPr>
          <w:p>
            <w:pPr>
              <w:pStyle w:val="927"/>
              <w:spacing w:before="120" w:after="120" w:line="360" w:lineRule="auto"/>
              <w:rPr>
                <w:rFonts w:hint="eastAsia" w:hAnsi="宋体" w:cs="宋体"/>
                <w:color w:val="auto"/>
                <w:sz w:val="21"/>
                <w:highlight w:val="none"/>
              </w:rPr>
            </w:pPr>
            <w:r>
              <w:rPr>
                <w:rFonts w:hint="eastAsia" w:hAnsi="宋体" w:cs="宋体"/>
                <w:color w:val="auto"/>
                <w:sz w:val="21"/>
                <w:highlight w:val="none"/>
              </w:rPr>
              <w:t xml:space="preserve">日期：    年    月    日</w:t>
            </w:r>
            <w:r/>
          </w:p>
        </w:tc>
      </w:tr>
    </w:tbl>
    <w:p>
      <w:pPr>
        <w:ind w:left="420" w:firstLine="420"/>
        <w:rPr>
          <w:rFonts w:hint="eastAsia" w:ascii="宋体" w:hAnsi="宋体" w:cs="宋体"/>
          <w:color w:val="auto"/>
          <w:highlight w:val="none"/>
        </w:rPr>
      </w:pPr>
      <w:r>
        <w:rPr>
          <w:rFonts w:hint="eastAsia" w:ascii="宋体" w:hAnsi="宋体" w:cs="宋体"/>
          <w:color w:val="auto"/>
          <w:highlight w:val="none"/>
        </w:rPr>
        <w:br w:type="page" w:clear="all"/>
      </w:r>
      <w:bookmarkEnd w:id="59"/>
      <w:r/>
      <w:r/>
    </w:p>
    <w:p>
      <w:pPr>
        <w:pStyle w:val="680"/>
        <w:numPr>
          <w:ilvl w:val="0"/>
          <w:numId w:val="5"/>
        </w:numPr>
        <w:ind w:left="0"/>
        <w:rPr>
          <w:color w:val="auto"/>
          <w:highlight w:val="none"/>
        </w:rPr>
      </w:pPr>
      <w:r/>
      <w:bookmarkStart w:id="60" w:name="_Toc12506"/>
      <w:r>
        <w:rPr>
          <w:rFonts w:hint="eastAsia"/>
          <w:color w:val="auto"/>
          <w:highlight w:val="none"/>
        </w:rPr>
        <w:t xml:space="preserve">项目需求</w:t>
      </w:r>
      <w:bookmarkEnd w:id="60"/>
      <w:r/>
      <w:r/>
    </w:p>
    <w:p>
      <w:pPr>
        <w:ind w:firstLine="420"/>
        <w:spacing w:line="360" w:lineRule="auto"/>
        <w:rPr>
          <w:rFonts w:hint="eastAsia" w:ascii="宋体" w:hAnsi="宋体" w:cs="宋体"/>
          <w:b/>
          <w:bCs/>
          <w:color w:val="auto"/>
          <w:highlight w:val="none"/>
        </w:rPr>
      </w:pPr>
      <w:r/>
      <w:bookmarkStart w:id="61" w:name="_Toc319408306"/>
      <w:r>
        <w:rPr>
          <w:rFonts w:hint="eastAsia" w:ascii="宋体" w:hAnsi="宋体" w:cs="宋体"/>
          <w:b/>
          <w:bCs/>
          <w:color w:val="auto"/>
          <w:highlight w:val="none"/>
        </w:rPr>
        <w:t xml:space="preserve">注：</w:t>
      </w: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本章内容里斜体且有下划线部分为实质性要求和条件，投标文件不满足的，视为无效投标处理。请各供应商制作电子投标文件时，将实质性响应的内容在政府采购管理交易系统（苏采云）“符合证明文件格式”中准确填写或上传。</w:t>
      </w:r>
      <w:bookmarkEnd w:id="61"/>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2、</w:t>
      </w:r>
      <w:r>
        <w:rPr>
          <w:rFonts w:hint="eastAsia" w:ascii="宋体" w:hAnsi="宋体" w:cs="宋体"/>
          <w:b/>
          <w:bCs/>
          <w:color w:val="auto"/>
          <w:szCs w:val="21"/>
          <w:highlight w:val="none"/>
        </w:rPr>
        <w:t xml:space="preserve">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680"/>
        <w:numPr>
          <w:ilvl w:val="0"/>
          <w:numId w:val="0"/>
        </w:numPr>
        <w:ind w:firstLine="420"/>
        <w:jc w:val="both"/>
        <w:rPr>
          <w:color w:val="auto"/>
          <w:sz w:val="21"/>
          <w:szCs w:val="21"/>
          <w:highlight w:val="none"/>
        </w:rPr>
      </w:pPr>
      <w:r>
        <w:rPr>
          <w:rFonts w:hint="eastAsia" w:ascii="宋体" w:hAnsi="宋体" w:cs="宋体"/>
          <w:bCs/>
          <w:color w:val="auto"/>
          <w:sz w:val="21"/>
          <w:szCs w:val="21"/>
          <w:highlight w:val="none"/>
        </w:rPr>
        <w:t xml:space="preserve">一、</w:t>
      </w:r>
      <w:r>
        <w:rPr>
          <w:rFonts w:hint="eastAsia"/>
          <w:color w:val="auto"/>
          <w:sz w:val="21"/>
          <w:szCs w:val="21"/>
          <w:highlight w:val="none"/>
        </w:rPr>
        <w:t xml:space="preserve">智慧病房系统建设要求</w:t>
      </w:r>
      <w:r/>
    </w:p>
    <w:p>
      <w:pPr>
        <w:ind w:firstLine="420"/>
        <w:spacing w:line="360" w:lineRule="auto"/>
        <w:rPr>
          <w:rFonts w:hint="eastAsia" w:ascii="宋体" w:hAnsi="宋体"/>
          <w:color w:val="auto"/>
          <w:sz w:val="22"/>
          <w:szCs w:val="24"/>
          <w:highlight w:val="none"/>
        </w:rPr>
      </w:pPr>
      <w:r>
        <w:rPr>
          <w:rFonts w:hint="eastAsia" w:ascii="宋体" w:hAnsi="宋体"/>
          <w:color w:val="auto"/>
          <w:szCs w:val="21"/>
          <w:highlight w:val="none"/>
        </w:rPr>
        <w:t xml:space="preserve">按照江苏省卫健委《江苏省推进卫生健康领域设备更新实施方案》、市政府《扬州市推动大规模设备更新和消费品以旧换新实施方案》精神，为推进智慧医院信息化内涵建设，我院拟对位于南通西路98号院区的现有病房进行智慧化升级改造。本次升级改造共包括47个病区,其中普通病区39个,包含医护主机、床头分机、门口分机、卫生间按钮、走廊显示屏、无线呼叫分机等；ICU病区共6个，包含ICU床头分机、悬臂支架等设备；智慧示范病区2个，除普通病区内容外，还包含AI输液识别系统、输液控制设备。</w:t>
      </w:r>
      <w:r/>
    </w:p>
    <w:p>
      <w:pPr>
        <w:pStyle w:val="680"/>
        <w:numPr>
          <w:ilvl w:val="0"/>
          <w:numId w:val="0"/>
        </w:numPr>
        <w:ind w:firstLine="420"/>
        <w:jc w:val="both"/>
        <w:rPr>
          <w:color w:val="auto"/>
          <w:sz w:val="21"/>
          <w:szCs w:val="21"/>
          <w:highlight w:val="none"/>
        </w:rPr>
      </w:pPr>
      <w:r>
        <w:rPr>
          <w:rFonts w:hint="eastAsia" w:ascii="Calibri" w:hAnsi="Calibri" w:cs="Calibri"/>
          <w:bCs/>
          <w:color w:val="auto"/>
          <w:sz w:val="21"/>
          <w:szCs w:val="21"/>
          <w:highlight w:val="none"/>
        </w:rPr>
        <w:t xml:space="preserve">二、</w:t>
      </w:r>
      <w:r>
        <w:rPr>
          <w:rFonts w:hint="eastAsia"/>
          <w:color w:val="auto"/>
          <w:sz w:val="21"/>
          <w:szCs w:val="21"/>
          <w:highlight w:val="none"/>
        </w:rPr>
        <w:t xml:space="preserve">项目具体要求</w:t>
      </w:r>
      <w:r/>
    </w:p>
    <w:p>
      <w:pPr>
        <w:pStyle w:val="681"/>
        <w:numPr>
          <w:ilvl w:val="1"/>
          <w:numId w:val="0"/>
        </w:numPr>
        <w:ind w:firstLine="420"/>
        <w:spacing w:before="0" w:after="0"/>
        <w:rPr>
          <w:rFonts w:eastAsia="宋体"/>
          <w:color w:val="auto"/>
          <w:sz w:val="21"/>
          <w:szCs w:val="21"/>
          <w:highlight w:val="none"/>
        </w:rPr>
      </w:pPr>
      <w:r>
        <w:rPr>
          <w:rFonts w:ascii="Times New Roman" w:hAnsi="Times New Roman" w:eastAsia="宋体" w:cs="Times New Roman"/>
          <w:color w:val="auto"/>
          <w:sz w:val="21"/>
          <w:szCs w:val="21"/>
          <w:highlight w:val="none"/>
        </w:rPr>
        <w:t xml:space="preserve">1.1</w:t>
      </w:r>
      <w:r>
        <w:rPr>
          <w:rFonts w:hint="eastAsia" w:ascii="Times New Roman" w:hAnsi="Times New Roman" w:eastAsia="宋体" w:cs="Times New Roman"/>
          <w:color w:val="auto"/>
          <w:sz w:val="21"/>
          <w:szCs w:val="21"/>
          <w:highlight w:val="none"/>
        </w:rPr>
        <w:t xml:space="preserve">系统</w:t>
      </w:r>
      <w:r>
        <w:rPr>
          <w:rFonts w:hint="eastAsia" w:eastAsia="宋体"/>
          <w:color w:val="auto"/>
          <w:sz w:val="21"/>
          <w:szCs w:val="21"/>
          <w:highlight w:val="none"/>
        </w:rPr>
        <w:t xml:space="preserve">要求</w:t>
      </w:r>
      <w:r/>
    </w:p>
    <w:p>
      <w:pPr>
        <w:pStyle w:val="77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1.主机、床头分机、门口分机核心终端使用Android操作系统，具有良好的扩展性，具有多种通讯连接功能，支持后续功能扩展服务，实现数据的实时同传共享。</w:t>
      </w:r>
      <w:r/>
    </w:p>
    <w:p>
      <w:pPr>
        <w:pStyle w:val="77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主机、床头分机、门口分机等核心终端使用高清液晶屏幕，系统使用专用终端而非民用电话机进行语音沟通。当服务器宕机时，核心通话对讲功能不受影响。系统借助门口分机集成的门灯闪烁来提示呼叫发出房间。</w:t>
      </w:r>
      <w:r/>
    </w:p>
    <w:p>
      <w:pPr>
        <w:pStyle w:val="77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3.系统应采用B/S体系结构，通过不同用户的管理权限，可对系统后台进行管理操作，各个功能模块可统一管理或分权限独立管理。</w:t>
      </w:r>
      <w:r/>
    </w:p>
    <w:p>
      <w:pPr>
        <w:pStyle w:val="77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系统的安装实施必须简单方便。可通过管理软件远程对单种设备的固件程序进行整体更新实施，确保系统易维护性。设备部署的实施过程中除实施的设备本身外，其他所有设备均可正常工作。硬件部署过程中，应保证诊疗的连续性，尽可能地减少对住院患者的干扰。</w:t>
      </w:r>
      <w:r/>
    </w:p>
    <w:p>
      <w:pPr>
        <w:pStyle w:val="77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系统应支持软硬件定制开发，并可对接涉及患者基本信息、生命体征、病历资料等的软件、硬件设备。</w:t>
      </w:r>
      <w:r/>
    </w:p>
    <w:p>
      <w:pPr>
        <w:pStyle w:val="77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数据安全</w:t>
      </w:r>
      <w:r/>
    </w:p>
    <w:p>
      <w:pPr>
        <w:pStyle w:val="77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6.1系统具有安全控制和物理保护措施，数据库服务器与公共网络物理隔离。软件系统安全可靠，能够有效防止来自网络以及内部的攻击，在网络拓扑层和应用层保证各个关键业务独立，架构中各个角色只通过接口通信，保证数据安全性与模块独立性。</w:t>
      </w:r>
      <w:r/>
    </w:p>
    <w:p>
      <w:pPr>
        <w:pStyle w:val="77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6.2支持用户操作权限分级管理，能够根据不同角色对用户进行权限配置和管理，保证系统数据安全。</w:t>
      </w:r>
      <w:r/>
    </w:p>
    <w:p>
      <w:pPr>
        <w:pStyle w:val="77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6.3支持数据加密管理，包括数据存储加密、数据传输加密等，保证用户信息和系统业务数据的安全。</w:t>
      </w:r>
      <w:r/>
    </w:p>
    <w:p>
      <w:pPr>
        <w:pStyle w:val="77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6.4严格遵循计算机等级保护标准的要求，使系统在网络、应用、数据信息等多层面获得有力的安全。</w:t>
      </w:r>
      <w:r/>
    </w:p>
    <w:p>
      <w:pPr>
        <w:pStyle w:val="77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6.5具备数据备份与恢复功能，提供数据库保障，并采用业界成熟的安全技术，切实保证系统不被破坏、数据不泄密。信息安全等级保护标准达到三级要求，具备在线备份和故障恢复工具，保障数据库系统完全故障后能迅速恢复到故障前状态。</w:t>
      </w:r>
      <w:r/>
    </w:p>
    <w:p>
      <w:pPr>
        <w:pStyle w:val="77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6.6具有完备的日志记录和管理功能，能及时准确地记录用户登录与退出、业务操作、数据同步等各类日志，支持根据时间、操作类型、关键字等进行日志内容检索，为系统故障排查和系统数据安全提供保障。</w:t>
      </w:r>
      <w:r/>
    </w:p>
    <w:p>
      <w:pPr>
        <w:pStyle w:val="77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6.7满足《中华人民共和国网络安全法》《中华人民共和国数据安全法》《中华人民共和国个人信息保护法》等法律法规。</w:t>
      </w:r>
      <w:r/>
    </w:p>
    <w:p>
      <w:pPr>
        <w:pStyle w:val="776"/>
        <w:numPr>
          <w:ilvl w:val="0"/>
          <w:numId w:val="6"/>
        </w:numPr>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运维服务要求：</w:t>
      </w:r>
      <w:r/>
    </w:p>
    <w:p>
      <w:pPr>
        <w:pStyle w:val="776"/>
        <w:ind w:left="0" w:firstLine="420"/>
        <w:spacing w:line="360" w:lineRule="auto"/>
        <w:rPr>
          <w:rFonts w:hint="eastAsia" w:ascii="宋体" w:hAnsi="宋体" w:cs="宋体"/>
          <w:b/>
          <w:bCs/>
          <w:i/>
          <w:iCs/>
          <w:color w:val="auto"/>
          <w:szCs w:val="21"/>
          <w:highlight w:val="none"/>
          <w:u w:val="single"/>
        </w:rPr>
      </w:pPr>
      <w:r>
        <w:rPr>
          <w:rFonts w:hint="eastAsia" w:ascii="宋体" w:hAnsi="宋体" w:cs="宋体"/>
          <w:color w:val="auto"/>
          <w:szCs w:val="21"/>
          <w:highlight w:val="none"/>
        </w:rPr>
        <w:t xml:space="preserve">7.1服务期限和要求</w:t>
      </w:r>
      <w:r>
        <w:rPr>
          <w:rFonts w:ascii="宋体" w:hAnsi="宋体" w:cs="宋体"/>
          <w:color w:val="auto"/>
          <w:szCs w:val="21"/>
          <w:highlight w:val="none"/>
        </w:rPr>
        <w:t xml:space="preserve">：</w:t>
      </w:r>
      <w:r>
        <w:rPr>
          <w:rFonts w:hint="eastAsia" w:ascii="宋体" w:hAnsi="宋体" w:cs="宋体"/>
          <w:b/>
          <w:bCs/>
          <w:i/>
          <w:iCs/>
          <w:color w:val="auto"/>
          <w:szCs w:val="21"/>
          <w:highlight w:val="none"/>
          <w:u w:val="single"/>
        </w:rPr>
        <w:t xml:space="preserve">投标人需提供</w:t>
      </w:r>
      <w:r>
        <w:rPr>
          <w:rFonts w:ascii="宋体" w:hAnsi="宋体" w:cs="宋体"/>
          <w:b/>
          <w:bCs/>
          <w:i/>
          <w:iCs/>
          <w:color w:val="auto"/>
          <w:szCs w:val="21"/>
          <w:highlight w:val="none"/>
          <w:u w:val="single"/>
        </w:rPr>
        <w:t xml:space="preserve">5年</w:t>
      </w:r>
      <w:r>
        <w:rPr>
          <w:rFonts w:hint="eastAsia" w:ascii="宋体" w:hAnsi="宋体" w:cs="宋体"/>
          <w:b/>
          <w:bCs/>
          <w:i/>
          <w:iCs/>
          <w:color w:val="auto"/>
          <w:szCs w:val="21"/>
          <w:highlight w:val="none"/>
          <w:u w:val="single"/>
        </w:rPr>
        <w:t xml:space="preserve">免费软硬件质保服务和人员</w:t>
      </w:r>
      <w:r>
        <w:rPr>
          <w:rFonts w:ascii="宋体" w:hAnsi="宋体" w:cs="宋体"/>
          <w:b/>
          <w:bCs/>
          <w:i/>
          <w:iCs/>
          <w:color w:val="auto"/>
          <w:szCs w:val="21"/>
          <w:highlight w:val="none"/>
          <w:u w:val="single"/>
        </w:rPr>
        <w:t xml:space="preserve">驻场服务</w:t>
      </w:r>
      <w:r>
        <w:rPr>
          <w:rFonts w:hint="eastAsia" w:ascii="宋体" w:hAnsi="宋体" w:cs="宋体"/>
          <w:b/>
          <w:bCs/>
          <w:i/>
          <w:iCs/>
          <w:color w:val="auto"/>
          <w:szCs w:val="21"/>
          <w:highlight w:val="none"/>
          <w:u w:val="single"/>
        </w:rPr>
        <w:t xml:space="preserve">；（提供承诺函加盖投标人公章，上传系统，承诺函格式自拟）</w:t>
      </w:r>
      <w:r/>
    </w:p>
    <w:p>
      <w:pPr>
        <w:pStyle w:val="77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驻场人员不少于1人，具体人数由投标人视项目实施情况投入。</w:t>
      </w:r>
      <w:r/>
    </w:p>
    <w:p>
      <w:pPr>
        <w:pStyle w:val="776"/>
        <w:ind w:left="0"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7.2系统稳定性与故障响应：确保智慧病房系统24小时*7天稳定运行，实时监控各项关键指标，建立快速响应机制，对系统故障进行即时诊断与修复，确保响应时间不超过预定标准</w:t>
      </w:r>
      <w:r>
        <w:rPr>
          <w:rFonts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7.3数据安全与隐私保护：实施严格的数据加密、备份与恢复策略，确保患者数据的安全性和完整性；遵守相关法律法规，加强隐私保护措施，防止患者个人信息泄露</w:t>
      </w:r>
      <w:r>
        <w:rPr>
          <w:rFonts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7.4设备维护与管理：定期对智慧病房内的医疗设备、智能终端、网络设施等进行巡检与维护，预防设备故障；管理设备生命周期，包括设备更新、报废及替换计划。</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7.5技术支持与培训：提供全天候技术支持服务，解决医护人员在使用过程中遇到的问题；定期为医护人员提供智慧病房系统操作、维护等方面的培训，提升使用效率。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7.8软件升级与功能优化：跟踪行业最新技术动态，定期对智慧病房软件进行升级，引入新功能；根据用户反馈和需求，对系统进行功能优化和界面改进，提升用户体验。</w:t>
      </w:r>
      <w:r/>
    </w:p>
    <w:p>
      <w:pPr>
        <w:ind w:firstLine="420"/>
        <w:spacing w:line="360" w:lineRule="auto"/>
        <w:rPr>
          <w:rFonts w:hint="eastAsia" w:ascii="宋体" w:hAnsi="宋体" w:cs="宋体"/>
          <w:color w:val="auto"/>
          <w:sz w:val="24"/>
          <w:szCs w:val="24"/>
          <w:highlight w:val="none"/>
        </w:rPr>
      </w:pPr>
      <w:r>
        <w:rPr>
          <w:rFonts w:hint="eastAsia" w:ascii="宋体" w:hAnsi="宋体" w:cs="宋体"/>
          <w:color w:val="auto"/>
          <w:szCs w:val="21"/>
          <w:highlight w:val="none"/>
        </w:rPr>
        <w:t xml:space="preserve">7.9报告与评估：定期生成运维服务报告，包括系统运行状态、故障处理记录、数据安全审计等；对运维服务效果进行评估，收集用户反馈，不断优化运维策略和服务质量</w:t>
      </w:r>
      <w:r>
        <w:rPr>
          <w:rFonts w:ascii="宋体" w:hAnsi="宋体" w:cs="宋体"/>
          <w:color w:val="auto"/>
          <w:szCs w:val="21"/>
          <w:highlight w:val="none"/>
        </w:rPr>
        <w:t xml:space="preserve">。</w:t>
      </w:r>
      <w:r/>
    </w:p>
    <w:p>
      <w:pPr>
        <w:jc w:val="center"/>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苏北人民医院</w:t>
      </w:r>
      <w:r>
        <w:rPr>
          <w:rFonts w:hint="eastAsia" w:ascii="Times New Roman" w:hAnsi="Times New Roman"/>
          <w:b/>
          <w:bCs/>
          <w:color w:val="auto"/>
          <w:szCs w:val="21"/>
          <w:highlight w:val="none"/>
        </w:rPr>
        <w:t xml:space="preserve">智慧病房</w:t>
      </w:r>
      <w:r>
        <w:rPr>
          <w:rFonts w:ascii="Times New Roman" w:hAnsi="Times New Roman"/>
          <w:b/>
          <w:bCs/>
          <w:color w:val="auto"/>
          <w:szCs w:val="21"/>
          <w:highlight w:val="none"/>
        </w:rPr>
        <w:t xml:space="preserve">所需产品清单</w:t>
      </w:r>
      <w:r/>
    </w:p>
    <w:tbl>
      <w:tblPr>
        <w:tblStyle w:val="690"/>
        <w:tblW w:w="74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5"/>
        <w:gridCol w:w="1162"/>
        <w:gridCol w:w="3325"/>
        <w:gridCol w:w="825"/>
        <w:gridCol w:w="1255"/>
      </w:tblGrid>
      <w:tr>
        <w:trPr>
          <w:jc w:val="center"/>
          <w:trHeight w:val="400"/>
        </w:trPr>
        <w:tc>
          <w:tcPr>
            <w:tcW w:w="865" w:type="dxa"/>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序号</w:t>
            </w:r>
            <w:r/>
          </w:p>
        </w:tc>
        <w:tc>
          <w:tcPr>
            <w:tcW w:w="1162" w:type="dxa"/>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类型</w:t>
            </w:r>
            <w:r/>
          </w:p>
        </w:tc>
        <w:tc>
          <w:tcPr>
            <w:tcW w:w="3325" w:type="dxa"/>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产品名称</w:t>
            </w:r>
            <w:r/>
          </w:p>
        </w:tc>
        <w:tc>
          <w:tcPr>
            <w:tcW w:w="825" w:type="dxa"/>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单位</w:t>
            </w:r>
            <w:r/>
          </w:p>
        </w:tc>
        <w:tc>
          <w:tcPr>
            <w:tcW w:w="1255" w:type="dxa"/>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预估</w:t>
            </w:r>
            <w:r>
              <w:rPr>
                <w:rFonts w:ascii="Times New Roman" w:hAnsi="Times New Roman"/>
                <w:b/>
                <w:bCs/>
                <w:color w:val="auto"/>
                <w:szCs w:val="21"/>
                <w:highlight w:val="none"/>
              </w:rPr>
              <w:t xml:space="preserve">数量</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1162" w:type="dxa"/>
            <w:vAlign w:val="center"/>
            <w:vMerge w:val="restar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软件部分</w:t>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智慧病房系统软件</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套</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第三方接口费</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项</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1162" w:type="dxa"/>
            <w:vAlign w:val="center"/>
            <w:vMerge w:val="restart"/>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普通病区通用硬件</w:t>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医护主机</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47</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普通病房床头分机</w:t>
            </w:r>
            <w:r>
              <w:rPr>
                <w:rFonts w:hint="eastAsia" w:ascii="Times New Roman" w:hAnsi="Times New Roman"/>
                <w:b/>
                <w:bCs/>
                <w:color w:val="auto"/>
                <w:szCs w:val="21"/>
                <w:highlight w:val="none"/>
              </w:rPr>
              <w:t xml:space="preserve">（核心产品）</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2032</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门口分机</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831</w:t>
            </w:r>
            <w:r/>
          </w:p>
        </w:tc>
      </w:tr>
      <w:tr>
        <w:trPr>
          <w:jc w:val="center"/>
          <w:trHeight w:val="508"/>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卫生间按钮</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993</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吊装走廊屏</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94</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IC卡</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张</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94</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无线呼叫分机</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个</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490</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10</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智能物联网关</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55</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11</w:t>
            </w:r>
            <w:r/>
          </w:p>
        </w:tc>
        <w:tc>
          <w:tcPr>
            <w:tcW w:w="1162" w:type="dxa"/>
            <w:vAlign w:val="center"/>
            <w:vMerge w:val="restart"/>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ICU病区硬件</w:t>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ICU床头分机</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150</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12</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悬臂支架</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150</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13</w:t>
            </w:r>
            <w:r/>
          </w:p>
        </w:tc>
        <w:tc>
          <w:tcPr>
            <w:tcW w:w="1162" w:type="dxa"/>
            <w:vAlign w:val="center"/>
            <w:vMerge w:val="restart"/>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智慧示范病区专用硬件软件</w:t>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AI输液识别系统</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套</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2</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14</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物联网网关</w:t>
            </w:r>
            <w:r/>
          </w:p>
        </w:tc>
        <w:tc>
          <w:tcPr>
            <w:tcW w:w="825" w:type="dxa"/>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15</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15</w:t>
            </w:r>
            <w:r/>
          </w:p>
        </w:tc>
        <w:tc>
          <w:tcPr>
            <w:tcW w:w="1162" w:type="dxa"/>
            <w:vAlign w:val="center"/>
            <w:vMerge w:val="continue"/>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33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输液控制设备</w:t>
            </w:r>
            <w:r/>
          </w:p>
        </w:tc>
        <w:tc>
          <w:tcPr>
            <w:tcW w:w="825" w:type="dxa"/>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台</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92</w:t>
            </w:r>
            <w:r/>
          </w:p>
        </w:tc>
      </w:tr>
      <w:tr>
        <w:trPr>
          <w:jc w:val="center"/>
          <w:trHeight w:val="400"/>
        </w:trPr>
        <w:tc>
          <w:tcPr>
            <w:tcW w:w="86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16</w:t>
            </w:r>
            <w:r/>
          </w:p>
        </w:tc>
        <w:tc>
          <w:tcPr>
            <w:tcW w:w="1162"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施工辅材</w:t>
            </w:r>
            <w:r/>
          </w:p>
        </w:tc>
        <w:tc>
          <w:tcPr>
            <w:tcW w:w="3325" w:type="dxa"/>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施工辅材（含交换机、施工、辅材等，需满足系统设备的使用需求）</w:t>
            </w:r>
            <w:r/>
          </w:p>
        </w:tc>
        <w:tc>
          <w:tcPr>
            <w:tcW w:w="82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宗</w:t>
            </w:r>
            <w:r/>
          </w:p>
        </w:tc>
        <w:tc>
          <w:tcPr>
            <w:tcW w:w="1255" w:type="dxa"/>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w:t>
            </w:r>
            <w:r/>
          </w:p>
        </w:tc>
      </w:tr>
    </w:tbl>
    <w:p>
      <w:pPr>
        <w:jc w:val="center"/>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r>
      <w:r/>
    </w:p>
    <w:p>
      <w:pPr>
        <w:ind w:firstLine="422"/>
        <w:spacing w:line="360" w:lineRule="auto"/>
        <w:rPr>
          <w:color w:val="auto"/>
          <w:szCs w:val="21"/>
          <w:highlight w:val="none"/>
        </w:rPr>
      </w:pPr>
      <w:r>
        <w:rPr>
          <w:rFonts w:ascii="Times New Roman" w:hAnsi="Times New Roman"/>
          <w:b/>
          <w:color w:val="auto"/>
          <w:szCs w:val="21"/>
          <w:highlight w:val="none"/>
        </w:rPr>
        <w:t xml:space="preserve">说明：</w:t>
      </w:r>
      <w:r>
        <w:rPr>
          <w:rFonts w:hint="eastAsia" w:ascii="Times New Roman" w:hAnsi="Times New Roman"/>
          <w:b/>
          <w:i/>
          <w:iCs/>
          <w:color w:val="auto"/>
          <w:szCs w:val="21"/>
          <w:highlight w:val="none"/>
          <w:u w:val="single"/>
        </w:rPr>
        <w:t xml:space="preserve">投标人应按采购人提供的产品清单逐一分项报价，按产品清单数量如期供货，如因采购人需求变动超出产品清单范围的，由采购人按实结算。</w:t>
      </w:r>
      <w:r>
        <w:rPr>
          <w:rFonts w:hint="eastAsia" w:ascii="宋体" w:hAnsi="宋体" w:cs="宋体"/>
          <w:b/>
          <w:i/>
          <w:iCs/>
          <w:color w:val="auto"/>
          <w:highlight w:val="none"/>
          <w:u w:val="single"/>
        </w:rPr>
        <w:t xml:space="preserve">（提供针对本条上述所有内容的承诺书，承诺书格式自拟，系统上传）。</w:t>
      </w:r>
      <w:r>
        <w:rPr>
          <w:rFonts w:hint="eastAsia" w:ascii="宋体" w:hAnsi="宋体" w:cs="宋体"/>
          <w:b/>
          <w:color w:val="auto"/>
          <w:highlight w:val="none"/>
        </w:rPr>
        <w:t xml:space="preserve">如遇采购人病房基建改造、调整等情况，工期由中标人与采购人协商后确定，不在90天工期要求内。</w:t>
      </w:r>
      <w:r/>
    </w:p>
    <w:p>
      <w:pPr>
        <w:pStyle w:val="681"/>
        <w:numPr>
          <w:ilvl w:val="1"/>
          <w:numId w:val="0"/>
        </w:numPr>
        <w:spacing w:before="0" w:after="0"/>
        <w:rPr>
          <w:rFonts w:ascii="Times New Roman" w:hAnsi="Times New Roman" w:eastAsia="宋体" w:cs="Times New Roman"/>
          <w:color w:val="auto"/>
          <w:sz w:val="21"/>
          <w:szCs w:val="21"/>
          <w:highlight w:val="none"/>
        </w:rPr>
      </w:pPr>
      <w:r>
        <w:rPr>
          <w:rFonts w:hint="eastAsia" w:eastAsia="宋体"/>
          <w:color w:val="auto"/>
          <w:sz w:val="21"/>
          <w:szCs w:val="21"/>
          <w:highlight w:val="none"/>
        </w:rPr>
        <w:t xml:space="preserve">1.2</w:t>
      </w:r>
      <w:r>
        <w:rPr>
          <w:rFonts w:hint="eastAsia"/>
          <w:color w:val="auto"/>
          <w:sz w:val="21"/>
          <w:szCs w:val="21"/>
          <w:highlight w:val="none"/>
        </w:rPr>
        <w:t xml:space="preserve">产品参数要求</w:t>
      </w:r>
      <w:r/>
    </w:p>
    <w:p>
      <w:pPr>
        <w:pStyle w:val="681"/>
        <w:numPr>
          <w:ilvl w:val="1"/>
          <w:numId w:val="0"/>
        </w:numPr>
        <w:spacing w:before="0" w:after="0"/>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1.2</w:t>
      </w:r>
      <w:r>
        <w:rPr>
          <w:rFonts w:hint="eastAsia" w:ascii="Times New Roman" w:hAnsi="Times New Roman" w:eastAsia="宋体" w:cs="Times New Roman"/>
          <w:color w:val="auto"/>
          <w:sz w:val="21"/>
          <w:szCs w:val="21"/>
          <w:highlight w:val="none"/>
        </w:rPr>
        <w:t xml:space="preserve">.1</w:t>
      </w:r>
      <w:r>
        <w:rPr>
          <w:rFonts w:ascii="Times New Roman" w:hAnsi="Times New Roman" w:eastAsia="宋体" w:cs="Times New Roman"/>
          <w:color w:val="auto"/>
          <w:sz w:val="21"/>
          <w:szCs w:val="21"/>
          <w:highlight w:val="none"/>
        </w:rPr>
        <w:t xml:space="preserve">智慧病房系统</w:t>
      </w:r>
      <w:r>
        <w:rPr>
          <w:rFonts w:hint="eastAsia" w:ascii="Times New Roman" w:hAnsi="Times New Roman" w:eastAsia="宋体" w:cs="Times New Roman"/>
          <w:color w:val="auto"/>
          <w:sz w:val="21"/>
          <w:szCs w:val="21"/>
          <w:highlight w:val="none"/>
        </w:rPr>
        <w:t xml:space="preserve">软件功能要求</w:t>
      </w:r>
      <w:r/>
    </w:p>
    <w:tbl>
      <w:tblPr>
        <w:tblStyle w:val="717"/>
        <w:tblW w:w="86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3"/>
        <w:gridCol w:w="910"/>
        <w:gridCol w:w="1836"/>
        <w:gridCol w:w="5446"/>
      </w:tblGrid>
      <w:tr>
        <w:trPr/>
        <w:tc>
          <w:tcPr>
            <w:tcW w:w="503"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91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836"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446"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910"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智慧病房系统软件</w:t>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账户与权限</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管理系统中所有的用户账户信息，并通过护士、护士长、医生、管理员等系统角色的形式将功能权限分配给相关用户，登录后自动显示对应的功能模块；</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终端管理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显示系统中各项终端的基本信息，可按照设备类型批量对各个终端进行升级操作；</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调查问卷</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系统支持问卷调查和问卷题库的管理等功能。</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护理级别管理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统一管理全院的护理级别名称、颜色等信息；</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患者一览</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通过患者信息卡的形式展示本护理单元患者的基本信息，点击后查看患者详情；</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宣教管理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系统支持宣教内容的管理和维护，宣教记录的查询等。</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床头卡显示配置</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管理本病区包括防跌倒、防压疮在内的各类警示信息在床头卡的展示形式；</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8</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系统配置</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管理员操作本病区的床头分机、床旁分机、医护主机、门口分机等终端的包括音量亮度在内的各类设置，定时自动修改各个分机的亮度与音量；</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9</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呼叫记录</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详细展示本病区中的历史呼叫记录，包括发起方、被叫方、是否接通、呼叫发起时间、呼叫处理时间、处理方式、通话时长等；</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10</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巡视记录</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支持护理人员在指定分机上完成查房打卡之后，系统生成巡视记录。</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11</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商家管理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系统支持商家管理和商家二维码的管理等功能。</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12</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操作记录</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系统自动记录用户web端的相关重要操作，展示在操作记录表中；</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13</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音频广播</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管理主机上的音频广播播出单，设置播出单的播放规则与播放时间；</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14</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表单管理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管理系统中的各类护理表单，包括但不限于体温单、血糖单、出入量单、各类评估单等</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15</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终端安全保障设计</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采用终端授权接入机制，有效保障在专有的机构由专有人员将专有探视终端接入专有视频云。</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16</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多重防护策略</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提供多重防护策略，可防护DDoS、CC、SQL注入、XSS跨站等常见Web服务器漏洞攻击、核心文件非授权访问、路径穿越等，保障网络安全。</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17</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安全传输</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HTTPS、WSS、结合数字签名技术，防伪造，防篡改，有效保障数据安全传输。</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18</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运维主页</w:t>
            </w:r>
            <w:r/>
          </w:p>
        </w:tc>
        <w:tc>
          <w:tcPr>
            <w:tcW w:w="5446"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Cs/>
                <w:i/>
                <w:iCs/>
                <w:color w:val="auto"/>
                <w:szCs w:val="21"/>
                <w:highlight w:val="none"/>
                <w:u w:val="single"/>
              </w:rPr>
              <w:t xml:space="preserve">★</w:t>
            </w:r>
            <w:r>
              <w:rPr>
                <w:rFonts w:ascii="Times New Roman" w:hAnsi="Times New Roman"/>
                <w:bCs/>
                <w:i/>
                <w:iCs/>
                <w:color w:val="auto"/>
                <w:szCs w:val="21"/>
                <w:highlight w:val="none"/>
                <w:u w:val="single"/>
              </w:rPr>
              <w:t xml:space="preserve">显示系统运维数据，包括各类型终端授权数量、服务器运行情况、各科室终端数量。</w:t>
            </w:r>
            <w:r>
              <w:rPr>
                <w:rFonts w:hint="eastAsia" w:ascii="Times New Roman" w:hAnsi="Times New Roman"/>
                <w:b/>
                <w:i/>
                <w:iCs/>
                <w:color w:val="auto"/>
                <w:szCs w:val="21"/>
                <w:highlight w:val="none"/>
                <w:u w:val="single"/>
              </w:rPr>
              <w:t xml:space="preserve">（</w:t>
            </w:r>
            <w:r>
              <w:rPr>
                <w:rFonts w:ascii="Times New Roman" w:hAnsi="Times New Roman"/>
                <w:b/>
                <w:i/>
                <w:iCs/>
                <w:color w:val="auto"/>
                <w:szCs w:val="21"/>
                <w:highlight w:val="none"/>
                <w:u w:val="single"/>
              </w:rPr>
              <w:t xml:space="preserve">提供软件界面截图</w:t>
            </w:r>
            <w:r>
              <w:rPr>
                <w:rFonts w:hint="eastAsia" w:ascii="Times New Roman" w:hAnsi="Times New Roman"/>
                <w:b/>
                <w:i/>
                <w:iCs/>
                <w:color w:val="auto"/>
                <w:szCs w:val="21"/>
                <w:highlight w:val="none"/>
                <w:u w:val="single"/>
              </w:rPr>
              <w:t xml:space="preserve">，系统上传</w:t>
            </w:r>
            <w:r>
              <w:rPr>
                <w:rFonts w:ascii="Times New Roman" w:hAnsi="Times New Roman"/>
                <w:b/>
                <w:i/>
                <w:iCs/>
                <w:color w:val="auto"/>
                <w:szCs w:val="21"/>
                <w:highlight w:val="none"/>
                <w:u w:val="single"/>
              </w:rPr>
              <w:t xml:space="preserve">）</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19</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消息提醒管理</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设置系统自动提醒的类型、名称、计算公式、触发时刻等规则与以及应用科室。</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20</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角色管理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可以分配用户角色、登录账号，并对账号或者角色进行权限管理，分配操作内容等。</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21</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责任组管理</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▲可以对患者呼叫进行分组管理，将患者呼叫转移到专管的责任护士的手持机或智能手机上实现呼叫通话。</w:t>
            </w:r>
            <w:r>
              <w:rPr>
                <w:rFonts w:hint="eastAsia" w:ascii="Times New Roman" w:hAnsi="Times New Roman"/>
                <w:b/>
                <w:color w:val="auto"/>
                <w:szCs w:val="21"/>
                <w:highlight w:val="none"/>
              </w:rPr>
              <w:t xml:space="preserve">（</w:t>
            </w:r>
            <w:r>
              <w:rPr>
                <w:rFonts w:ascii="Times New Roman" w:hAnsi="Times New Roman"/>
                <w:b/>
                <w:color w:val="auto"/>
                <w:szCs w:val="21"/>
                <w:highlight w:val="none"/>
              </w:rPr>
              <w:t xml:space="preserve">提供软件界面截图</w:t>
            </w:r>
            <w:r>
              <w:rPr>
                <w:rFonts w:hint="eastAsia" w:ascii="Times New Roman" w:hAnsi="Times New Roman"/>
                <w:b/>
                <w:color w:val="auto"/>
                <w:szCs w:val="21"/>
                <w:highlight w:val="none"/>
              </w:rPr>
              <w:t xml:space="preserve">，系统上传</w:t>
            </w:r>
            <w:r>
              <w:rPr>
                <w:rFonts w:ascii="Times New Roman" w:hAnsi="Times New Roman"/>
                <w:b/>
                <w:color w:val="auto"/>
                <w:szCs w:val="21"/>
                <w:highlight w:val="none"/>
              </w:rPr>
              <w:t xml:space="preserve">）</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22</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设备状态监控</w:t>
            </w:r>
            <w:r/>
          </w:p>
        </w:tc>
        <w:tc>
          <w:tcPr>
            <w:tcW w:w="5446"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Cs/>
                <w:i/>
                <w:iCs/>
                <w:color w:val="auto"/>
                <w:szCs w:val="21"/>
                <w:highlight w:val="none"/>
                <w:u w:val="single"/>
              </w:rPr>
              <w:t xml:space="preserve">★</w:t>
            </w:r>
            <w:r>
              <w:rPr>
                <w:rFonts w:ascii="Times New Roman" w:hAnsi="Times New Roman"/>
                <w:bCs/>
                <w:i/>
                <w:iCs/>
                <w:color w:val="auto"/>
                <w:szCs w:val="21"/>
                <w:highlight w:val="none"/>
                <w:u w:val="single"/>
              </w:rPr>
              <w:t xml:space="preserve">可以查看设备的位置、工作状态，快速发现故障设备，查看设备软件版本等信息，便于排查故障设备，定位问题。</w:t>
            </w:r>
            <w:r>
              <w:rPr>
                <w:rFonts w:hint="eastAsia" w:ascii="Times New Roman" w:hAnsi="Times New Roman"/>
                <w:b/>
                <w:i/>
                <w:iCs/>
                <w:color w:val="auto"/>
                <w:szCs w:val="21"/>
                <w:highlight w:val="none"/>
                <w:u w:val="single"/>
              </w:rPr>
              <w:t xml:space="preserve">（</w:t>
            </w:r>
            <w:r>
              <w:rPr>
                <w:rFonts w:ascii="Times New Roman" w:hAnsi="Times New Roman"/>
                <w:b/>
                <w:i/>
                <w:iCs/>
                <w:color w:val="auto"/>
                <w:szCs w:val="21"/>
                <w:highlight w:val="none"/>
                <w:u w:val="single"/>
              </w:rPr>
              <w:t xml:space="preserve">提供软件界面截图</w:t>
            </w:r>
            <w:r>
              <w:rPr>
                <w:rFonts w:hint="eastAsia" w:ascii="Times New Roman" w:hAnsi="Times New Roman"/>
                <w:b/>
                <w:i/>
                <w:iCs/>
                <w:color w:val="auto"/>
                <w:szCs w:val="21"/>
                <w:highlight w:val="none"/>
                <w:u w:val="single"/>
              </w:rPr>
              <w:t xml:space="preserve">，系统上传</w:t>
            </w:r>
            <w:r>
              <w:rPr>
                <w:rFonts w:ascii="Times New Roman" w:hAnsi="Times New Roman"/>
                <w:b/>
                <w:i/>
                <w:iCs/>
                <w:color w:val="auto"/>
                <w:szCs w:val="21"/>
                <w:highlight w:val="none"/>
                <w:u w:val="single"/>
              </w:rPr>
              <w:t xml:space="preserve">）</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23</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医护主机</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按安装科室查看各终端的IP地址、状态、版本信息、最后升级状态等终端信息，并可以进行终端在线升级、终端配置等运维操作。</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24</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呼叫记录</w:t>
            </w:r>
            <w:r/>
          </w:p>
        </w:tc>
        <w:tc>
          <w:tcPr>
            <w:tcW w:w="544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显示所选科室的历史呼叫记录内容，包括发起设备、接收设备、是否接通、呼叫时间、处理时间等内容。</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25</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进出记录</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支持根据医院指定的规则，记录所选科室护士进出病房的时间、进入房间、进入人等内容。</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26</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调查问卷</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维护所选科室或全院的调查问卷内容，显示各个问卷调查的统计信息。</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27</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呼叫统计</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可视化显示各个维度的呼叫统计，包括科室对比图、房间对比图、床位对比图、日趋势图、时趋势图、入住统计图、呼叫响应对比图。</w:t>
            </w:r>
            <w:r/>
          </w:p>
        </w:tc>
      </w:tr>
      <w:tr>
        <w:trPr/>
        <w:tc>
          <w:tcPr>
            <w:tcW w:w="50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28</w:t>
            </w:r>
            <w:r/>
          </w:p>
        </w:tc>
        <w:tc>
          <w:tcPr>
            <w:tcW w:w="91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3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床头卡分区配置</w:t>
            </w:r>
            <w:r/>
          </w:p>
        </w:tc>
        <w:tc>
          <w:tcPr>
            <w:tcW w:w="5446"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支持按单个、多个病区配置个性化的床头卡和门口分机的字段、布局</w:t>
            </w:r>
            <w:r/>
          </w:p>
        </w:tc>
      </w:tr>
    </w:tbl>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2.2</w:t>
      </w:r>
      <w:r>
        <w:rPr>
          <w:rFonts w:ascii="Times New Roman" w:hAnsi="Times New Roman" w:eastAsia="宋体" w:cs="Times New Roman"/>
          <w:color w:val="auto"/>
          <w:sz w:val="21"/>
          <w:szCs w:val="21"/>
          <w:highlight w:val="none"/>
        </w:rPr>
        <w:t xml:space="preserve">第三方接口</w:t>
      </w:r>
      <w:r/>
    </w:p>
    <w:tbl>
      <w:tblPr>
        <w:tblStyle w:val="717"/>
        <w:tblW w:w="8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5"/>
        <w:gridCol w:w="908"/>
        <w:gridCol w:w="1842"/>
        <w:gridCol w:w="5450"/>
      </w:tblGrid>
      <w:tr>
        <w:trPr/>
        <w:tc>
          <w:tcPr>
            <w:tcW w:w="505"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9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84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45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0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908"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第三方接口</w:t>
            </w:r>
            <w:r/>
          </w:p>
        </w:tc>
        <w:tc>
          <w:tcPr>
            <w:tcW w:w="184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互联互通</w:t>
            </w:r>
            <w:r/>
          </w:p>
        </w:tc>
        <w:tc>
          <w:tcPr>
            <w:tcW w:w="5450" w:type="dxa"/>
            <w:textDirection w:val="lrTb"/>
            <w:noWrap w:val="false"/>
          </w:tcPr>
          <w:p>
            <w:pPr>
              <w:jc w:val="left"/>
              <w:spacing w:line="360" w:lineRule="auto"/>
              <w:rPr>
                <w:rFonts w:ascii="Times New Roman" w:hAnsi="Times New Roman"/>
                <w:bCs/>
                <w:color w:val="auto"/>
                <w:szCs w:val="21"/>
                <w:highlight w:val="none"/>
              </w:rPr>
            </w:pPr>
            <w:r>
              <w:rPr>
                <w:rFonts w:hint="eastAsia" w:ascii="Times New Roman" w:hAnsi="Times New Roman"/>
                <w:bCs/>
                <w:i/>
                <w:iCs/>
                <w:color w:val="auto"/>
                <w:szCs w:val="21"/>
                <w:highlight w:val="none"/>
                <w:u w:val="single"/>
              </w:rPr>
              <w:t xml:space="preserve">★为了实现患者信息的交互，需根据医院需求做平台接口对接，平台需和院内系统实现互联互通、无缝对接。</w:t>
            </w:r>
            <w:r>
              <w:rPr>
                <w:rFonts w:hint="eastAsia" w:ascii="Times New Roman" w:hAnsi="Times New Roman"/>
                <w:b/>
                <w:i/>
                <w:iCs/>
                <w:color w:val="auto"/>
                <w:szCs w:val="21"/>
                <w:highlight w:val="none"/>
                <w:u w:val="single"/>
              </w:rPr>
              <w:t xml:space="preserve">（对以上内容进行</w:t>
            </w:r>
            <w:r>
              <w:rPr>
                <w:rFonts w:hint="eastAsia"/>
                <w:b/>
                <w:bCs/>
                <w:i/>
                <w:iCs/>
                <w:color w:val="auto"/>
                <w:highlight w:val="none"/>
                <w:u w:val="single"/>
              </w:rPr>
              <w:t xml:space="preserve">承诺书，上传系统，承诺书格式自拟）</w:t>
            </w:r>
            <w:r/>
          </w:p>
        </w:tc>
      </w:tr>
      <w:tr>
        <w:trPr/>
        <w:tc>
          <w:tcPr>
            <w:tcW w:w="505"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908"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84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接口费用</w:t>
            </w:r>
            <w:r/>
          </w:p>
        </w:tc>
        <w:tc>
          <w:tcPr>
            <w:tcW w:w="5450" w:type="dxa"/>
            <w:textDirection w:val="lrTb"/>
            <w:noWrap w:val="false"/>
          </w:tcPr>
          <w:p>
            <w:pPr>
              <w:pStyle w:val="696"/>
              <w:spacing w:line="360" w:lineRule="auto"/>
              <w:rPr>
                <w:rFonts w:ascii="Times New Roman" w:hAnsi="Times New Roman"/>
                <w:color w:val="auto"/>
                <w:szCs w:val="21"/>
                <w:highlight w:val="none"/>
              </w:rPr>
            </w:pPr>
            <w:r>
              <w:rPr>
                <w:rFonts w:hint="eastAsia" w:ascii="Times New Roman" w:hAnsi="Times New Roman"/>
                <w:bCs/>
                <w:i/>
                <w:iCs/>
                <w:color w:val="auto"/>
                <w:szCs w:val="21"/>
                <w:highlight w:val="none"/>
                <w:u w:val="single"/>
              </w:rPr>
              <w:t xml:space="preserve">★</w:t>
            </w:r>
            <w:r>
              <w:rPr>
                <w:rFonts w:hint="eastAsia"/>
                <w:i/>
                <w:iCs/>
                <w:color w:val="auto"/>
                <w:highlight w:val="none"/>
                <w:u w:val="single"/>
              </w:rPr>
              <w:t xml:space="preserve">预估接口费用10万元需包含在投标报价中，后期采购人对该部分不另行增加，投标人在投标报价中应“根据项目功能需求和市场行情”予以考虑。</w:t>
            </w:r>
            <w:r>
              <w:rPr>
                <w:rFonts w:hint="eastAsia" w:ascii="Times New Roman" w:hAnsi="Times New Roman"/>
                <w:b/>
                <w:i/>
                <w:iCs/>
                <w:color w:val="auto"/>
                <w:szCs w:val="21"/>
                <w:highlight w:val="none"/>
                <w:u w:val="single"/>
              </w:rPr>
              <w:t xml:space="preserve">（对以上内容进行</w:t>
            </w:r>
            <w:r>
              <w:rPr>
                <w:rFonts w:hint="eastAsia"/>
                <w:b/>
                <w:bCs/>
                <w:i/>
                <w:iCs/>
                <w:color w:val="auto"/>
                <w:highlight w:val="none"/>
                <w:u w:val="single"/>
              </w:rPr>
              <w:t xml:space="preserve">承诺书，上传系统，承诺书格式自拟）</w:t>
            </w:r>
            <w:r>
              <w:rPr>
                <w:rFonts w:hint="eastAsia"/>
                <w:b/>
                <w:bCs/>
                <w:i/>
                <w:iCs/>
                <w:color w:val="auto"/>
                <w:highlight w:val="none"/>
              </w:rPr>
              <w:t xml:space="preserve">如遇接口对接问题，采购人可以协助投标人协调。</w:t>
            </w:r>
            <w:r/>
          </w:p>
        </w:tc>
      </w:tr>
    </w:tbl>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2.3</w:t>
      </w:r>
      <w:r>
        <w:rPr>
          <w:rFonts w:ascii="Times New Roman" w:hAnsi="Times New Roman" w:eastAsia="宋体" w:cs="Times New Roman"/>
          <w:color w:val="auto"/>
          <w:sz w:val="21"/>
          <w:szCs w:val="21"/>
          <w:highlight w:val="none"/>
        </w:rPr>
        <w:t xml:space="preserve">医护主机</w:t>
      </w:r>
      <w:r/>
    </w:p>
    <w:tbl>
      <w:tblPr>
        <w:tblStyle w:val="717"/>
        <w:tblW w:w="82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09"/>
        <w:gridCol w:w="1134"/>
        <w:gridCol w:w="5670"/>
      </w:tblGrid>
      <w:tr>
        <w:trPr/>
        <w:tc>
          <w:tcPr>
            <w:tcW w:w="70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70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709"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医护主机</w:t>
            </w:r>
            <w:r/>
          </w:p>
        </w:tc>
        <w:tc>
          <w:tcPr>
            <w:tcW w:w="1134" w:type="dxa"/>
            <w:textDirection w:val="lrTb"/>
            <w:noWrap w:val="false"/>
          </w:tcPr>
          <w:p>
            <w:pPr>
              <w:spacing w:line="360" w:lineRule="auto"/>
              <w:widowControl/>
              <w:rPr>
                <w:rFonts w:ascii="Times New Roman" w:hAnsi="Times New Roman"/>
                <w:bCs/>
                <w:color w:val="auto"/>
                <w:szCs w:val="21"/>
                <w:highlight w:val="none"/>
              </w:rPr>
            </w:pPr>
            <w:r>
              <w:rPr>
                <w:rFonts w:ascii="Times New Roman" w:hAnsi="Times New Roman"/>
                <w:bCs/>
                <w:color w:val="auto"/>
                <w:szCs w:val="21"/>
                <w:highlight w:val="none"/>
              </w:rPr>
              <w:t xml:space="preserve">硬件参数</w:t>
            </w:r>
            <w:r/>
          </w:p>
        </w:tc>
        <w:tc>
          <w:tcPr>
            <w:tcW w:w="5670" w:type="dxa"/>
            <w:textDirection w:val="lrTb"/>
            <w:noWrap w:val="false"/>
          </w:tcPr>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▲1.安卓操作系统，版本号不低于Android 1</w:t>
            </w:r>
            <w:r>
              <w:rPr>
                <w:rFonts w:hint="eastAsia" w:ascii="Times New Roman" w:hAnsi="Times New Roman"/>
                <w:color w:val="auto"/>
                <w:szCs w:val="21"/>
                <w:highlight w:val="none"/>
              </w:rPr>
              <w:t xml:space="preserve">0</w:t>
            </w:r>
            <w:r>
              <w:rPr>
                <w:rFonts w:ascii="Times New Roman" w:hAnsi="Times New Roman"/>
                <w:color w:val="auto"/>
                <w:szCs w:val="21"/>
                <w:highlight w:val="none"/>
              </w:rPr>
              <w:t xml:space="preserve">.0；</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2.</w:t>
            </w:r>
            <w:r>
              <w:rPr>
                <w:rFonts w:ascii="Times New Roman" w:hAnsi="Times New Roman"/>
                <w:color w:val="auto"/>
                <w:szCs w:val="21"/>
                <w:highlight w:val="none"/>
              </w:rPr>
              <w:t xml:space="preserve">CPU不低于6核，CPU主频不低于1.8GHz；</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3.</w:t>
            </w:r>
            <w:r>
              <w:rPr>
                <w:rFonts w:ascii="Times New Roman" w:hAnsi="Times New Roman"/>
                <w:color w:val="auto"/>
                <w:szCs w:val="21"/>
                <w:highlight w:val="none"/>
              </w:rPr>
              <w:t xml:space="preserve">运行内存不低于4G；</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4.</w:t>
            </w:r>
            <w:r>
              <w:rPr>
                <w:rFonts w:ascii="Times New Roman" w:hAnsi="Times New Roman"/>
                <w:color w:val="auto"/>
                <w:szCs w:val="21"/>
                <w:highlight w:val="none"/>
              </w:rPr>
              <w:t xml:space="preserve">机身存储不低于32G</w:t>
            </w:r>
            <w:r>
              <w:rPr>
                <w:rFonts w:hint="eastAsia" w:ascii="Times New Roman" w:hAnsi="Times New Roman"/>
                <w:color w:val="auto"/>
                <w:szCs w:val="21"/>
                <w:highlight w:val="none"/>
              </w:rPr>
              <w:t xml:space="preserve">，</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5.</w:t>
            </w:r>
            <w:r>
              <w:rPr>
                <w:rFonts w:ascii="Times New Roman" w:hAnsi="Times New Roman"/>
                <w:color w:val="auto"/>
                <w:szCs w:val="21"/>
                <w:highlight w:val="none"/>
              </w:rPr>
              <w:t xml:space="preserve">尺寸不低于15英寸，</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6.</w:t>
            </w:r>
            <w:r>
              <w:rPr>
                <w:rFonts w:ascii="Times New Roman" w:hAnsi="Times New Roman"/>
                <w:color w:val="auto"/>
                <w:szCs w:val="21"/>
                <w:highlight w:val="none"/>
              </w:rPr>
              <w:t xml:space="preserve">分辨率不低于1920×1080；</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7.</w:t>
            </w:r>
            <w:r>
              <w:rPr>
                <w:rFonts w:ascii="Times New Roman" w:hAnsi="Times New Roman"/>
                <w:color w:val="auto"/>
                <w:szCs w:val="21"/>
                <w:highlight w:val="none"/>
              </w:rPr>
              <w:t xml:space="preserve">前置摄像头像素不低于1300W；</w:t>
            </w:r>
            <w:r/>
          </w:p>
          <w:p>
            <w:pPr>
              <w:pStyle w:val="696"/>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以上</w:t>
            </w:r>
            <w:r>
              <w:rPr>
                <w:rFonts w:ascii="Times New Roman" w:hAnsi="Times New Roman"/>
                <w:bCs/>
                <w:color w:val="auto"/>
                <w:szCs w:val="21"/>
                <w:highlight w:val="none"/>
              </w:rPr>
              <w:t xml:space="preserve">▲</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p>
          <w:p>
            <w:pPr>
              <w:pStyle w:val="696"/>
              <w:spacing w:line="360" w:lineRule="auto"/>
              <w:rPr>
                <w:rFonts w:ascii="Times New Roman" w:hAnsi="Times New Roman"/>
                <w:b/>
                <w:bCs/>
                <w:color w:val="auto"/>
                <w:szCs w:val="21"/>
                <w:highlight w:val="none"/>
              </w:rPr>
            </w:pPr>
            <w:r>
              <w:rPr>
                <w:rFonts w:hint="eastAsia" w:ascii="Times New Roman" w:hAnsi="Times New Roman"/>
                <w:color w:val="auto"/>
                <w:szCs w:val="21"/>
                <w:highlight w:val="none"/>
              </w:rPr>
              <w:t xml:space="preserve">8.</w:t>
            </w:r>
            <w:r>
              <w:rPr>
                <w:rFonts w:ascii="Times New Roman" w:hAnsi="Times New Roman"/>
                <w:color w:val="auto"/>
                <w:szCs w:val="21"/>
                <w:highlight w:val="none"/>
              </w:rPr>
              <w:t xml:space="preserve">电容屏，支持手套操作，支持多点触控；</w:t>
            </w:r>
            <w:r/>
          </w:p>
          <w:p>
            <w:pPr>
              <w:pStyle w:val="696"/>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rPr>
                <w:rFonts w:ascii="Times New Roman" w:hAnsi="Times New Roman"/>
                <w:color w:val="auto"/>
                <w:szCs w:val="21"/>
                <w:highlight w:val="none"/>
              </w:rPr>
              <w:t xml:space="preserve">读卡模块：支持IC卡；WIFI：2.4G/5G及以上；蓝牙:5.0；以太网：支持10/100/1000Mbps自适应</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支持HDMI 2.0*1、USB2.0*1、RJ45*1、3.5mm耳机插孔*1等接口；</w:t>
            </w:r>
            <w:r/>
          </w:p>
          <w:p>
            <w:pPr>
              <w:pStyle w:val="696"/>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10</w:t>
            </w:r>
            <w:r>
              <w:rPr>
                <w:rFonts w:ascii="Times New Roman" w:hAnsi="Times New Roman"/>
                <w:color w:val="auto"/>
                <w:szCs w:val="21"/>
                <w:highlight w:val="none"/>
              </w:rPr>
              <w:t xml:space="preserve">.物理按键：息屏键*1，便于使用人员快速开关屏幕；复位键*1，便于设备异常时快速重启，物理按键为隐藏式设计，可有效避免误按情况发生；</w:t>
            </w:r>
            <w:r/>
          </w:p>
          <w:p>
            <w:pPr>
              <w:pStyle w:val="696"/>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11</w:t>
            </w:r>
            <w:r>
              <w:rPr>
                <w:rFonts w:ascii="Times New Roman" w:hAnsi="Times New Roman"/>
                <w:color w:val="auto"/>
                <w:szCs w:val="21"/>
                <w:highlight w:val="none"/>
              </w:rPr>
              <w:t xml:space="preserve">.支持电源适配器供电、POE供电、电源箱集中供电三种方式；</w:t>
            </w:r>
            <w:r/>
          </w:p>
          <w:p>
            <w:pPr>
              <w:pStyle w:val="696"/>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12</w:t>
            </w:r>
            <w:r>
              <w:rPr>
                <w:rFonts w:ascii="Times New Roman" w:hAnsi="Times New Roman"/>
                <w:color w:val="auto"/>
                <w:szCs w:val="21"/>
                <w:highlight w:val="none"/>
              </w:rPr>
              <w:t xml:space="preserve">.面板钢化玻璃硬度≥6H，保证产品不易破坏。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呼叫患者</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支持向病区患者发起呼叫，接通后可进行音频或视频通话，支持自动接通；</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呼叫医护</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支持向本病区值班室、护士站以及其他病区护士站发起呼叫，接通后可进行音频或视频通话；</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多路通话</w:t>
            </w:r>
            <w:r/>
          </w:p>
        </w:tc>
        <w:tc>
          <w:tcPr>
            <w:tcW w:w="5670" w:type="dxa"/>
            <w:textDirection w:val="lrTb"/>
            <w:noWrap w:val="false"/>
          </w:tcPr>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▲支持一病区多主机模式，当一个主机正在通话中时，不影响其他主机等终端处理患者呼叫。</w:t>
            </w:r>
            <w:r>
              <w:rPr>
                <w:rFonts w:hint="eastAsia" w:ascii="Times New Roman" w:hAnsi="Times New Roman"/>
                <w:b/>
                <w:color w:val="auto"/>
                <w:szCs w:val="21"/>
                <w:highlight w:val="none"/>
              </w:rPr>
              <w:t xml:space="preserve">（</w:t>
            </w:r>
            <w:r>
              <w:rPr>
                <w:rFonts w:ascii="Times New Roman" w:hAnsi="Times New Roman"/>
                <w:b/>
                <w:color w:val="auto"/>
                <w:szCs w:val="21"/>
                <w:highlight w:val="none"/>
              </w:rPr>
              <w:t xml:space="preserve">提供软件界面截图</w:t>
            </w:r>
            <w:r>
              <w:rPr>
                <w:rFonts w:hint="eastAsia" w:ascii="Times New Roman" w:hAnsi="Times New Roman"/>
                <w:b/>
                <w:color w:val="auto"/>
                <w:szCs w:val="21"/>
                <w:highlight w:val="none"/>
              </w:rPr>
              <w:t xml:space="preserve">，系统上传</w:t>
            </w:r>
            <w:r>
              <w:rPr>
                <w:rFonts w:ascii="Times New Roman" w:hAnsi="Times New Roman"/>
                <w:b/>
                <w:color w:val="auto"/>
                <w:szCs w:val="21"/>
                <w:highlight w:val="none"/>
              </w:rPr>
              <w:t xml:space="preserve">）</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接收呼叫</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支持接听、挂断、忽略三种形式的处理呼叫方式，选择“忽略”后只会挂断在当前终端的呼叫请求，而不影响其他终端接收；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患者监护</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医护主机支持主动调起患者的床头/床旁分机摄像头，查看患者的实时情况。</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宕机呼叫</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服务器重启、宕机、停电等特殊情况均不影响正常患者向主机的呼叫功能。呼叫托管：可设置托管主机，床头、门口等分机的呼叫统一转移到被托管主机上处理。支持立即托管与定时段托管模式。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忙音反馈</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当主机在通话中时，系统可自动将呼叫信息收到的状态反馈给床头、床旁分机等终端，减轻患者焦虑。</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录音录像</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支持对通话过程录音录像，并可在服务端查询播放录制的文件。</w:t>
            </w:r>
            <w:r/>
          </w:p>
        </w:tc>
      </w:tr>
      <w:tr>
        <w:trPr/>
        <w:tc>
          <w:tcPr>
            <w:tcW w:w="704" w:type="dxa"/>
            <w:vAlign w:val="center"/>
            <w:textDirection w:val="lrTb"/>
            <w:noWrap w:val="false"/>
          </w:tcPr>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709" w:type="dxa"/>
            <w:vMerge w:val="continue"/>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134"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语音播报</w:t>
            </w:r>
            <w:r/>
          </w:p>
        </w:tc>
        <w:tc>
          <w:tcPr>
            <w:tcW w:w="5670" w:type="dxa"/>
            <w:textDirection w:val="lrTb"/>
            <w:noWrap w:val="false"/>
          </w:tcPr>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支持对接收的呼叫信息进行汉字语音播报，如“X床呼叫”、“X房间卫生间呼叫”等，可设置报号次数。</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未处理提醒</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支持设置持续提醒或间隔提醒，以满足不同环境、不同病区需要。</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一键清除</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支持一键清除所有未处理呼叫，节省逐条清除时间。</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呼叫记录</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展示病区历史呼叫记录，包括发起方、被叫方、呼叫发起时间、呼叫处理时间、处理方式、通话时长等。</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床位信息卡</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展示床位一览，每个床位模块显示对应患者的床位信息、患者基本信息、护理标识信息等。</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病区统计</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支持统计并展示病区床位总数、患者总数、危重预警人数、各护理级别人数等。</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显示模式</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床位信息卡支持常规模式和极简模式两种显示模式，用户可根据使用习惯自行切换。</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患者详情</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展示患者详情，包括床号、姓名、性别、年龄、出生日期、入院时间、入院诊断等。</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护士进入</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配合门口操作，支持查看病区护士所在房间位置。</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屏保动画</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终端持续未操作时，支持自动显示屏保动画。</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话筒广播</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支持向整个病区、任意床位、任意房间发起实时话筒广播，广播时所有播放终端声音进度保持一致。</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音频广播</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支持通过播出单向整个病区、任意床位、任意房间发起定时或实时音频广播，支持单曲循环、列表循环、顺序播放三种播放模式，广播时所有播放终端声音进度保持一致。</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闹钟提醒</w:t>
            </w:r>
            <w:r/>
          </w:p>
        </w:tc>
        <w:tc>
          <w:tcPr>
            <w:tcW w:w="5670"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配合患者端闹钟功能，皮试、测血糖等闹钟到时后支持一同联动提醒，播放闹钟铃声。</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护士定位</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配合门口分机的护士进入功能，可查看哪些房间有护士进入</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屏幕亮度调整</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支持后台配置多时间段屏幕亮度或亮、息屏，可根据医院作息灵活控制。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终端音量调整</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支持后台配置多时间段终端音量，可根据医院作息灵活控制。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回音消除</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具备回音消除算法，优化通话噪音，提高通话质量。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噪音抑制</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通过噪音抑制算法，降低通话中的环境噪音，提高通话质量。硬件看门狗功能：硬件看门狗设计，支持设备异常时自动重启功能。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网络抖动抑制</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可在弱网环境下提供高效网络传输、通话功能，提升用户通讯体验。</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硬件重启</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支持通过实体按键完成硬件重启功能。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延时上电</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为防止多设备同时启动时瞬时电流过大，设备支持延时上电功能。</w:t>
            </w:r>
            <w:r/>
          </w:p>
        </w:tc>
      </w:tr>
    </w:tbl>
    <w:p>
      <w:pPr>
        <w:rPr>
          <w:color w:val="auto"/>
          <w:highlight w:val="none"/>
        </w:rPr>
      </w:pPr>
      <w:r>
        <w:rPr>
          <w:color w:val="auto"/>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2.4</w:t>
      </w:r>
      <w:r>
        <w:rPr>
          <w:rFonts w:ascii="Times New Roman" w:hAnsi="Times New Roman" w:eastAsia="宋体" w:cs="Times New Roman"/>
          <w:color w:val="auto"/>
          <w:sz w:val="21"/>
          <w:szCs w:val="21"/>
          <w:highlight w:val="none"/>
        </w:rPr>
        <w:t xml:space="preserve">普通病区床头分机</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09"/>
        <w:gridCol w:w="1134"/>
        <w:gridCol w:w="5670"/>
      </w:tblGrid>
      <w:tr>
        <w:trPr/>
        <w:tc>
          <w:tcPr>
            <w:tcW w:w="70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70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rHeight w:val="617"/>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709"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普通病区床头分机</w:t>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硬件参数</w:t>
            </w:r>
            <w:r/>
          </w:p>
        </w:tc>
        <w:tc>
          <w:tcPr>
            <w:tcW w:w="5670" w:type="dxa"/>
            <w:textDirection w:val="lrTb"/>
            <w:noWrap w:val="false"/>
          </w:tcPr>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▲1.安卓操作系统，</w:t>
            </w:r>
            <w:r>
              <w:rPr>
                <w:rFonts w:ascii="Times New Roman" w:hAnsi="Times New Roman"/>
                <w:color w:val="auto"/>
                <w:szCs w:val="21"/>
                <w:highlight w:val="none"/>
              </w:rPr>
              <w:t xml:space="preserve">≥</w:t>
            </w:r>
            <w:r>
              <w:rPr>
                <w:rFonts w:ascii="Times New Roman" w:hAnsi="Times New Roman"/>
                <w:bCs/>
                <w:color w:val="auto"/>
                <w:szCs w:val="21"/>
                <w:highlight w:val="none"/>
              </w:rPr>
              <w:t xml:space="preserve">Android 1</w:t>
            </w:r>
            <w:r>
              <w:rPr>
                <w:rFonts w:hint="eastAsia" w:ascii="Times New Roman" w:hAnsi="Times New Roman"/>
                <w:bCs/>
                <w:color w:val="auto"/>
                <w:szCs w:val="21"/>
                <w:highlight w:val="none"/>
              </w:rPr>
              <w:t xml:space="preserve">0</w:t>
            </w:r>
            <w:r>
              <w:rPr>
                <w:rFonts w:ascii="Times New Roman" w:hAnsi="Times New Roman"/>
                <w:bCs/>
                <w:color w:val="auto"/>
                <w:szCs w:val="21"/>
                <w:highlight w:val="none"/>
              </w:rPr>
              <w:t xml:space="preserve">.0；</w:t>
            </w:r>
            <w:r/>
          </w:p>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2.屏幕</w:t>
            </w:r>
            <w:r>
              <w:rPr>
                <w:rFonts w:ascii="Times New Roman" w:hAnsi="Times New Roman"/>
                <w:bCs/>
                <w:color w:val="auto"/>
                <w:szCs w:val="21"/>
                <w:highlight w:val="none"/>
              </w:rPr>
              <w:t xml:space="preserve">尺寸</w:t>
            </w:r>
            <w:r>
              <w:rPr>
                <w:rFonts w:ascii="Times New Roman" w:hAnsi="Times New Roman"/>
                <w:color w:val="auto"/>
                <w:szCs w:val="21"/>
                <w:highlight w:val="none"/>
              </w:rPr>
              <w:t xml:space="preserve">≥</w:t>
            </w:r>
            <w:r>
              <w:rPr>
                <w:rFonts w:ascii="Times New Roman" w:hAnsi="Times New Roman"/>
                <w:bCs/>
                <w:color w:val="auto"/>
                <w:szCs w:val="21"/>
                <w:highlight w:val="none"/>
              </w:rPr>
              <w:t xml:space="preserve">7英寸</w:t>
            </w:r>
            <w:r>
              <w:rPr>
                <w:rFonts w:hint="eastAsia" w:ascii="Times New Roman" w:hAnsi="Times New Roman"/>
                <w:bCs/>
                <w:color w:val="auto"/>
                <w:szCs w:val="21"/>
                <w:highlight w:val="none"/>
              </w:rPr>
              <w:t xml:space="preserve">；</w:t>
            </w:r>
            <w:r/>
          </w:p>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3.</w:t>
            </w:r>
            <w:r>
              <w:rPr>
                <w:rFonts w:ascii="Times New Roman" w:hAnsi="Times New Roman"/>
                <w:bCs/>
                <w:color w:val="auto"/>
                <w:szCs w:val="21"/>
                <w:highlight w:val="none"/>
              </w:rPr>
              <w:t xml:space="preserve">分辨率</w:t>
            </w:r>
            <w:r>
              <w:rPr>
                <w:rFonts w:ascii="Times New Roman" w:hAnsi="Times New Roman"/>
                <w:color w:val="auto"/>
                <w:szCs w:val="21"/>
                <w:highlight w:val="none"/>
              </w:rPr>
              <w:t xml:space="preserve">≥</w:t>
            </w:r>
            <w:r>
              <w:rPr>
                <w:rFonts w:ascii="Times New Roman" w:hAnsi="Times New Roman"/>
                <w:bCs/>
                <w:color w:val="auto"/>
                <w:szCs w:val="21"/>
                <w:highlight w:val="none"/>
              </w:rPr>
              <w:t xml:space="preserve">1024×600；</w:t>
            </w:r>
            <w:r/>
          </w:p>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4.</w:t>
            </w:r>
            <w:r>
              <w:rPr>
                <w:rFonts w:ascii="Times New Roman" w:hAnsi="Times New Roman"/>
                <w:bCs/>
                <w:color w:val="auto"/>
                <w:szCs w:val="21"/>
                <w:highlight w:val="none"/>
              </w:rPr>
              <w:t xml:space="preserve">CPU:不低于4核</w:t>
            </w:r>
            <w:r>
              <w:rPr>
                <w:rFonts w:hint="eastAsia" w:ascii="Times New Roman" w:hAnsi="Times New Roman"/>
                <w:bCs/>
                <w:color w:val="auto"/>
                <w:szCs w:val="21"/>
                <w:highlight w:val="none"/>
              </w:rPr>
              <w:t xml:space="preserve">；</w:t>
            </w:r>
            <w:r>
              <w:rPr>
                <w:rFonts w:ascii="Times New Roman" w:hAnsi="Times New Roman"/>
                <w:color w:val="auto"/>
                <w:szCs w:val="21"/>
                <w:highlight w:val="none"/>
              </w:rPr>
              <w:t xml:space="preserve">主频不低于</w:t>
            </w:r>
            <w:r>
              <w:rPr>
                <w:rFonts w:ascii="Times New Roman" w:hAnsi="Times New Roman"/>
                <w:bCs/>
                <w:color w:val="auto"/>
                <w:szCs w:val="21"/>
                <w:highlight w:val="none"/>
              </w:rPr>
              <w:t xml:space="preserve">1.8GHz；</w:t>
            </w:r>
            <w:r>
              <w:rPr>
                <w:rFonts w:hint="eastAsia" w:ascii="Times New Roman" w:hAnsi="Times New Roman"/>
                <w:bCs/>
                <w:color w:val="auto"/>
                <w:szCs w:val="21"/>
                <w:highlight w:val="none"/>
              </w:rPr>
              <w:t xml:space="preserve">GPU：</w:t>
            </w:r>
            <w:r>
              <w:rPr>
                <w:rFonts w:ascii="Times New Roman" w:hAnsi="Times New Roman"/>
                <w:bCs/>
                <w:color w:val="auto"/>
                <w:szCs w:val="21"/>
                <w:highlight w:val="none"/>
              </w:rPr>
              <w:t xml:space="preserve">不低于800MHz</w:t>
            </w:r>
            <w:r>
              <w:rPr>
                <w:rFonts w:hint="eastAsia" w:ascii="Times New Roman" w:hAnsi="Times New Roman"/>
                <w:bCs/>
                <w:color w:val="auto"/>
                <w:szCs w:val="21"/>
                <w:highlight w:val="none"/>
              </w:rPr>
              <w:t xml:space="preserve">；</w:t>
            </w:r>
            <w:r/>
          </w:p>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5.</w:t>
            </w:r>
            <w:r>
              <w:rPr>
                <w:rFonts w:ascii="Times New Roman" w:hAnsi="Times New Roman"/>
                <w:bCs/>
                <w:color w:val="auto"/>
                <w:szCs w:val="21"/>
                <w:highlight w:val="none"/>
              </w:rPr>
              <w:t xml:space="preserve">运行内存：不低于2G</w:t>
            </w:r>
            <w:r>
              <w:rPr>
                <w:rFonts w:hint="eastAsia" w:ascii="Times New Roman" w:hAnsi="Times New Roman"/>
                <w:bCs/>
                <w:color w:val="auto"/>
                <w:szCs w:val="21"/>
                <w:highlight w:val="none"/>
              </w:rPr>
              <w:t xml:space="preserve">；</w:t>
            </w:r>
            <w:r/>
          </w:p>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6.</w:t>
            </w:r>
            <w:r>
              <w:rPr>
                <w:rFonts w:ascii="Times New Roman" w:hAnsi="Times New Roman"/>
                <w:bCs/>
                <w:color w:val="auto"/>
                <w:szCs w:val="21"/>
                <w:highlight w:val="none"/>
              </w:rPr>
              <w:t xml:space="preserve">机身存储不低于：32G</w:t>
            </w:r>
            <w:r>
              <w:rPr>
                <w:rFonts w:hint="eastAsia" w:ascii="Times New Roman" w:hAnsi="Times New Roman"/>
                <w:bCs/>
                <w:color w:val="auto"/>
                <w:szCs w:val="21"/>
                <w:highlight w:val="none"/>
              </w:rPr>
              <w:t xml:space="preserve">；</w:t>
            </w:r>
            <w:r/>
          </w:p>
          <w:p>
            <w:pPr>
              <w:pStyle w:val="696"/>
              <w:spacing w:line="360" w:lineRule="auto"/>
              <w:rPr>
                <w:color w:val="auto"/>
                <w:highlight w:val="none"/>
              </w:rPr>
            </w:pP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以上</w:t>
            </w:r>
            <w:r>
              <w:rPr>
                <w:rFonts w:ascii="Times New Roman" w:hAnsi="Times New Roman"/>
                <w:bCs/>
                <w:color w:val="auto"/>
                <w:szCs w:val="21"/>
                <w:highlight w:val="none"/>
              </w:rPr>
              <w:t xml:space="preserve">▲</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p>
          <w:p>
            <w:pPr>
              <w:spacing w:line="360" w:lineRule="auto"/>
              <w:rPr>
                <w:rFonts w:ascii="Times New Roman" w:hAnsi="Times New Roman"/>
                <w:b/>
                <w:bCs/>
                <w:color w:val="auto"/>
                <w:szCs w:val="21"/>
                <w:highlight w:val="none"/>
              </w:rPr>
            </w:pPr>
            <w:r>
              <w:rPr>
                <w:rFonts w:hint="eastAsia" w:ascii="Times New Roman" w:hAnsi="Times New Roman"/>
                <w:bCs/>
                <w:color w:val="auto"/>
                <w:szCs w:val="21"/>
                <w:highlight w:val="none"/>
              </w:rPr>
              <w:t xml:space="preserve">7.</w:t>
            </w:r>
            <w:r>
              <w:rPr>
                <w:rFonts w:ascii="Times New Roman" w:hAnsi="Times New Roman"/>
                <w:bCs/>
                <w:color w:val="auto"/>
                <w:szCs w:val="21"/>
                <w:highlight w:val="none"/>
              </w:rPr>
              <w:t xml:space="preserve">电容触摸屏，防指纹；支持多点触控；具备摄像头，像素不低于800W</w:t>
            </w:r>
            <w:r>
              <w:rPr>
                <w:rFonts w:hint="eastAsia" w:ascii="Times New Roman" w:hAnsi="Times New Roman"/>
                <w:bCs/>
                <w:color w:val="auto"/>
                <w:szCs w:val="21"/>
                <w:highlight w:val="none"/>
              </w:rPr>
              <w:t xml:space="preserve">；</w:t>
            </w:r>
            <w:r>
              <w:rPr>
                <w:rFonts w:ascii="Times New Roman" w:hAnsi="Times New Roman"/>
                <w:bCs/>
                <w:color w:val="auto"/>
                <w:szCs w:val="21"/>
                <w:highlight w:val="none"/>
              </w:rPr>
              <w:t xml:space="preserve">WIFI:2.4G/5G 802.11 a/b/g/n/ac；蓝牙：支持蓝牙4.2及以上；支持光感；物理按键：护理键*1、增援键*1、呼叫键*1</w:t>
            </w:r>
            <w:r>
              <w:rPr>
                <w:rFonts w:hint="eastAsia" w:ascii="Times New Roman" w:hAnsi="Times New Roman"/>
                <w:bCs/>
                <w:color w:val="auto"/>
                <w:szCs w:val="21"/>
                <w:highlight w:val="none"/>
              </w:rPr>
              <w:t xml:space="preserve">。</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8.组网方式：为适应医院复杂的部署环境，投标单位可根据自身技术路线、医院实际情况自行选择其中一种方式或两种方式并用：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方式一：10/100/1000Mbps自适应以太网</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采用标准以太网接口，提供千兆高速连接。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方式二：两线制组网 </w:t>
            </w:r>
            <w:r/>
          </w:p>
          <w:p>
            <w:pPr>
              <w:spacing w:line="360" w:lineRule="auto"/>
              <w:rPr>
                <w:rFonts w:ascii="Times New Roman" w:hAnsi="Times New Roman"/>
                <w:b/>
                <w:bCs/>
                <w:color w:val="auto"/>
                <w:szCs w:val="21"/>
                <w:highlight w:val="none"/>
              </w:rPr>
            </w:pPr>
            <w:r>
              <w:rPr>
                <w:rFonts w:hint="eastAsia" w:ascii="Times New Roman" w:hAnsi="Times New Roman"/>
                <w:bCs/>
                <w:color w:val="auto"/>
                <w:szCs w:val="21"/>
                <w:highlight w:val="none"/>
              </w:rPr>
              <w:t xml:space="preserve">采用一条两芯线，同时实现数据通信与供电。</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w:t>
            </w:r>
            <w:r>
              <w:rPr>
                <w:rFonts w:ascii="Times New Roman" w:hAnsi="Times New Roman"/>
                <w:bCs/>
                <w:color w:val="auto"/>
                <w:szCs w:val="21"/>
                <w:highlight w:val="none"/>
              </w:rPr>
              <w:t xml:space="preserve">支持POE供电，POE供电与独立供电可自识别。</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10.</w:t>
            </w:r>
            <w:r>
              <w:rPr>
                <w:rFonts w:ascii="Times New Roman" w:hAnsi="Times New Roman"/>
                <w:bCs/>
                <w:color w:val="auto"/>
                <w:szCs w:val="21"/>
                <w:highlight w:val="none"/>
              </w:rPr>
              <w:t xml:space="preserve">支持电源适配器供电、POE供电、电源箱集中供电三种方式</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w:t>
            </w:r>
            <w:r>
              <w:rPr>
                <w:rFonts w:ascii="Times New Roman" w:hAnsi="Times New Roman"/>
                <w:bCs/>
                <w:color w:val="auto"/>
                <w:szCs w:val="21"/>
                <w:highlight w:val="none"/>
              </w:rPr>
              <w:t xml:space="preserve">支持IC刷卡；支持门灯接口、支持呼叫开关接口；其他接口：USB2.0、RJ45、扬声器转接口、呼叫开关接口、卫生间接口、门灯接口。</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护理呼叫</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支持向病区护士发起呼叫请求，提供音频呼叫、视频呼叫等多种呼叫发起方式。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709"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巡视记录</w:t>
            </w:r>
            <w:r/>
          </w:p>
        </w:tc>
        <w:tc>
          <w:tcPr>
            <w:tcW w:w="5670"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bCs/>
                <w:i/>
                <w:iCs/>
                <w:color w:val="auto"/>
                <w:szCs w:val="21"/>
                <w:highlight w:val="none"/>
                <w:u w:val="single"/>
              </w:rPr>
              <w:t xml:space="preserve">★</w:t>
            </w:r>
            <w:r>
              <w:rPr>
                <w:rFonts w:hint="eastAsia" w:ascii="Times New Roman" w:hAnsi="Times New Roman"/>
                <w:i/>
                <w:iCs/>
                <w:color w:val="auto"/>
                <w:szCs w:val="21"/>
                <w:highlight w:val="none"/>
                <w:u w:val="single"/>
              </w:rPr>
              <w:t xml:space="preserve">支持护理人员在指定分机上刷卡之后，系统生成巡视记录或提供给护理系统打卡记录。每个病区配置2张IC卡。</w:t>
            </w:r>
            <w:r>
              <w:rPr>
                <w:rFonts w:hint="eastAsia" w:ascii="Times New Roman" w:hAnsi="Times New Roman"/>
                <w:b/>
                <w:i/>
                <w:iCs/>
                <w:color w:val="auto"/>
                <w:szCs w:val="21"/>
                <w:highlight w:val="none"/>
                <w:u w:val="single"/>
              </w:rPr>
              <w:t xml:space="preserve">（</w:t>
            </w:r>
            <w:r>
              <w:rPr>
                <w:rFonts w:ascii="Times New Roman" w:hAnsi="Times New Roman"/>
                <w:b/>
                <w:i/>
                <w:iCs/>
                <w:color w:val="auto"/>
                <w:szCs w:val="21"/>
                <w:highlight w:val="none"/>
                <w:u w:val="single"/>
              </w:rPr>
              <w:t xml:space="preserve">提供软件界面截图</w:t>
            </w:r>
            <w:r>
              <w:rPr>
                <w:rFonts w:hint="eastAsia" w:ascii="Times New Roman" w:hAnsi="Times New Roman"/>
                <w:b/>
                <w:i/>
                <w:iCs/>
                <w:color w:val="auto"/>
                <w:szCs w:val="21"/>
                <w:highlight w:val="none"/>
                <w:u w:val="single"/>
              </w:rPr>
              <w:t xml:space="preserve">，系统上传</w:t>
            </w:r>
            <w:r>
              <w:rPr>
                <w:rFonts w:ascii="Times New Roman" w:hAnsi="Times New Roman"/>
                <w:b/>
                <w:i/>
                <w:iCs/>
                <w:color w:val="auto"/>
                <w:szCs w:val="21"/>
                <w:highlight w:val="none"/>
                <w:u w:val="single"/>
              </w:rPr>
              <w:t xml:space="preserve">）</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换药呼叫</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支持直接发起换药呼叫请求，无需接通，快速响应。</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增援呼叫</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护士可发起增援呼叫求助，方便护理人员迅速定位所需增援床位。</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呼叫转移</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护士进入房间后，可使用该房间内床头分机接听其他房间患者床头分机的呼叫，并进行双向音视频对讲。</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呼叫联动</w:t>
            </w:r>
            <w:r/>
          </w:p>
        </w:tc>
        <w:tc>
          <w:tcPr>
            <w:tcW w:w="5670"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床头分机发起呼叫时，可联动医护主机、医声助手、门口分机、走廊屏、值班室分机、门灯等终端设备联动，支持与医院护理PDA对接实现PDA端可接收到呼叫提醒，保障呼叫信息及时有效传递。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可视对讲</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提供音频呼叫、视频呼叫、增援呼叫等多种呼叫发起方式，患者或医护人员可根据实际情况自行选择呼叫方式。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护理床头卡</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显示患者的各项信息，如姓名、床号、性别、年龄、入院日期、过敏史、饮食类型等基本信息以及防跌倒、防压疮、非计划拔管等预警信息，支持样式定制。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床头卡自动复位</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终端一段时间无操作后，系统支持自动返回患者床头卡界面，无需手动操作。</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智能宣教</w:t>
            </w:r>
            <w:r/>
          </w:p>
        </w:tc>
        <w:tc>
          <w:tcPr>
            <w:tcW w:w="5670"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系统支持智能宣教和宣教状态查询等功能。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智能闹钟</w:t>
            </w:r>
            <w:r/>
          </w:p>
        </w:tc>
        <w:tc>
          <w:tcPr>
            <w:tcW w:w="5670"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吸氧、皮试及其他辅助器械使用时，可设置闹钟计时提醒。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医疗计算器</w:t>
            </w:r>
            <w:r/>
          </w:p>
        </w:tc>
        <w:tc>
          <w:tcPr>
            <w:tcW w:w="5670"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内置医疗计算器，包括“静脉补液滴速”“平均动脉压”“日胰岛素用量”等，护士输入完成相关项后，自动计算结果。</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播放广播</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护士站医护主机进行广播时，床头分机可以播放相应广播内容。</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屏幕亮度调整</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支持后台配置多时间段屏幕亮度或亮、息屏，可根据医院作息灵活控制。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延时上电</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为防止多设备同时启动时瞬时电流过大，设备支持延时上电功能。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显示内容</w:t>
            </w:r>
            <w:r/>
          </w:p>
        </w:tc>
        <w:tc>
          <w:tcPr>
            <w:tcW w:w="56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可根据医院需求拓展对接医疗资料、接入点餐、预约护工、游戏娱乐、问卷调查等非医疗服务。</w:t>
            </w:r>
            <w:r/>
          </w:p>
        </w:tc>
      </w:tr>
    </w:tbl>
    <w:p>
      <w:pPr>
        <w:rPr>
          <w:color w:val="auto"/>
          <w:highlight w:val="none"/>
        </w:rPr>
      </w:pPr>
      <w:r>
        <w:rPr>
          <w:color w:val="auto"/>
          <w:highlight w:val="none"/>
        </w:rPr>
      </w:r>
      <w:r/>
    </w:p>
    <w:p>
      <w:pPr>
        <w:pStyle w:val="761"/>
        <w:rPr>
          <w:color w:val="auto"/>
          <w:highlight w:val="none"/>
        </w:rPr>
      </w:pPr>
      <w:r>
        <w:rPr>
          <w:color w:val="auto"/>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2.5</w:t>
      </w:r>
      <w:r>
        <w:rPr>
          <w:rFonts w:ascii="Times New Roman" w:hAnsi="Times New Roman" w:eastAsia="宋体" w:cs="Times New Roman"/>
          <w:color w:val="auto"/>
          <w:sz w:val="21"/>
          <w:szCs w:val="21"/>
          <w:highlight w:val="none"/>
        </w:rPr>
        <w:t xml:space="preserve">门口分机</w:t>
      </w:r>
      <w:r/>
    </w:p>
    <w:tbl>
      <w:tblPr>
        <w:tblStyle w:val="717"/>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09"/>
        <w:gridCol w:w="1134"/>
        <w:gridCol w:w="5699"/>
      </w:tblGrid>
      <w:tr>
        <w:trPr/>
        <w:tc>
          <w:tcPr>
            <w:tcW w:w="70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70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709"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门口分机</w:t>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硬件参数</w:t>
            </w:r>
            <w:r/>
          </w:p>
        </w:tc>
        <w:tc>
          <w:tcPr>
            <w:tcW w:w="5699" w:type="dxa"/>
            <w:textDirection w:val="lrTb"/>
            <w:noWrap w:val="false"/>
          </w:tcPr>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▲1.安卓操作系统，版本号不低于Android 1</w:t>
            </w:r>
            <w:r>
              <w:rPr>
                <w:rFonts w:hint="eastAsia" w:ascii="Times New Roman" w:hAnsi="Times New Roman"/>
                <w:color w:val="auto"/>
                <w:szCs w:val="21"/>
                <w:highlight w:val="none"/>
              </w:rPr>
              <w:t xml:space="preserve">0</w:t>
            </w:r>
            <w:r>
              <w:rPr>
                <w:rFonts w:ascii="Times New Roman" w:hAnsi="Times New Roman"/>
                <w:color w:val="auto"/>
                <w:szCs w:val="21"/>
                <w:highlight w:val="none"/>
              </w:rPr>
              <w:t xml:space="preserve">.0；</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2.尺寸不低于15.6英寸IPS屏；</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3.</w:t>
            </w:r>
            <w:r>
              <w:rPr>
                <w:rFonts w:ascii="Times New Roman" w:hAnsi="Times New Roman"/>
                <w:color w:val="auto"/>
                <w:szCs w:val="21"/>
                <w:highlight w:val="none"/>
              </w:rPr>
              <w:t xml:space="preserve">CPU不低于4核，主频不低于1.8GHz；</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4.</w:t>
            </w:r>
            <w:r>
              <w:rPr>
                <w:rFonts w:ascii="Times New Roman" w:hAnsi="Times New Roman"/>
                <w:color w:val="auto"/>
                <w:szCs w:val="21"/>
                <w:highlight w:val="none"/>
              </w:rPr>
              <w:t xml:space="preserve">运行内存不低于2G</w:t>
            </w:r>
            <w:r>
              <w:rPr>
                <w:rFonts w:hint="eastAsia" w:ascii="Times New Roman" w:hAnsi="Times New Roman"/>
                <w:color w:val="auto"/>
                <w:szCs w:val="21"/>
                <w:highlight w:val="none"/>
              </w:rPr>
              <w:t xml:space="preserve">；</w:t>
            </w:r>
            <w:r/>
          </w:p>
          <w:p>
            <w:pPr>
              <w:pStyle w:val="696"/>
              <w:spacing w:line="360" w:lineRule="auto"/>
              <w:rPr>
                <w:rFonts w:ascii="Times New Roman" w:hAnsi="Times New Roman"/>
                <w:b/>
                <w:bCs/>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5.</w:t>
            </w:r>
            <w:r>
              <w:rPr>
                <w:rFonts w:ascii="Times New Roman" w:hAnsi="Times New Roman"/>
                <w:color w:val="auto"/>
                <w:szCs w:val="21"/>
                <w:highlight w:val="none"/>
              </w:rPr>
              <w:t xml:space="preserve">机身存储不低于32G</w:t>
            </w:r>
            <w:r>
              <w:rPr>
                <w:rFonts w:hint="eastAsia" w:ascii="Times New Roman" w:hAnsi="Times New Roman"/>
                <w:color w:val="auto"/>
                <w:szCs w:val="21"/>
                <w:highlight w:val="none"/>
              </w:rPr>
              <w:t xml:space="preserve">；</w:t>
            </w:r>
            <w:r/>
          </w:p>
          <w:p>
            <w:pPr>
              <w:pStyle w:val="696"/>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以上</w:t>
            </w:r>
            <w:r>
              <w:rPr>
                <w:rFonts w:ascii="Times New Roman" w:hAnsi="Times New Roman"/>
                <w:bCs/>
                <w:color w:val="auto"/>
                <w:szCs w:val="21"/>
                <w:highlight w:val="none"/>
              </w:rPr>
              <w:t xml:space="preserve">▲</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6</w:t>
            </w: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电容触摸屏，支持多点触控，支持不少于10点；分辨率不低于1920×1080</w:t>
            </w:r>
            <w:r>
              <w:rPr>
                <w:rFonts w:ascii="Times New Roman" w:hAnsi="Times New Roman"/>
                <w:color w:val="auto"/>
                <w:szCs w:val="21"/>
                <w:highlight w:val="none"/>
              </w:rPr>
              <w:t xml:space="preserve">；亮度：250cd/m²；设备自带门灯，门灯颜色不小于7色；支持NFC，自带摄像头，像素不低于800W；支持WiFi5，蓝牙5.0；支持光感模块；具备实体护理按键；</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7.组网方式：为适应医院复杂的部署环境，投标单位可根据自身技术路线、医院实际情况自行选择其中一种方式或两种方式并用：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方式一：10/100/1000Mbps自适应以太网</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采用标准以太网接口，提供千兆高速连接。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方式二：两线制组网 </w:t>
            </w:r>
            <w:r/>
          </w:p>
          <w:p>
            <w:pPr>
              <w:spacing w:line="360" w:lineRule="auto"/>
              <w:rPr>
                <w:rFonts w:ascii="Times New Roman" w:hAnsi="Times New Roman"/>
                <w:b/>
                <w:bCs/>
                <w:color w:val="auto"/>
                <w:szCs w:val="21"/>
                <w:highlight w:val="none"/>
              </w:rPr>
            </w:pPr>
            <w:r>
              <w:rPr>
                <w:rFonts w:hint="eastAsia" w:ascii="Times New Roman" w:hAnsi="Times New Roman"/>
                <w:bCs/>
                <w:color w:val="auto"/>
                <w:szCs w:val="21"/>
                <w:highlight w:val="none"/>
              </w:rPr>
              <w:t xml:space="preserve">采用一条两芯线，同时实现数据通信与供电。</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8</w:t>
            </w:r>
            <w:r>
              <w:rPr>
                <w:rFonts w:ascii="Times New Roman" w:hAnsi="Times New Roman"/>
                <w:color w:val="auto"/>
                <w:szCs w:val="21"/>
                <w:highlight w:val="none"/>
              </w:rPr>
              <w:t xml:space="preserve">.支持电源适配器供电、POE供电、电源箱集中供电三种方式;</w:t>
            </w:r>
            <w:r/>
          </w:p>
          <w:p>
            <w:pPr>
              <w:pStyle w:val="697"/>
              <w:spacing w:after="0"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rPr>
                <w:rFonts w:ascii="Times New Roman" w:hAnsi="Times New Roman"/>
                <w:color w:val="auto"/>
                <w:szCs w:val="21"/>
                <w:highlight w:val="none"/>
              </w:rPr>
              <w:t xml:space="preserve">.扬声器：支持双声道；</w:t>
            </w:r>
            <w:r/>
          </w:p>
          <w:p>
            <w:pPr>
              <w:pStyle w:val="697"/>
              <w:spacing w:after="0"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10</w:t>
            </w:r>
            <w:r>
              <w:rPr>
                <w:rFonts w:ascii="Times New Roman" w:hAnsi="Times New Roman"/>
                <w:color w:val="auto"/>
                <w:szCs w:val="21"/>
                <w:highlight w:val="none"/>
              </w:rPr>
              <w:t xml:space="preserve">.接口：USB2.0、RJ45转接口、卫生间分机接口、开关接口。</w:t>
            </w:r>
            <w:r/>
          </w:p>
          <w:p>
            <w:pPr>
              <w:pStyle w:val="697"/>
              <w:spacing w:after="0"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11</w:t>
            </w:r>
            <w:r>
              <w:rPr>
                <w:rFonts w:ascii="Times New Roman" w:hAnsi="Times New Roman"/>
                <w:color w:val="auto"/>
                <w:szCs w:val="21"/>
                <w:highlight w:val="none"/>
              </w:rPr>
              <w:t xml:space="preserve">.支持分屏显示</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房间信息展示</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显示房间名及其包含床位；</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患者信息展示</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显示房间内床位号与患者信息；</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护士进入</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定位护士进入哪个房间，同时清除本房间的未处理呼叫；</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宣教文章展示</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系统支持宣教文章的展示功能。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医护列表</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展示本科室的医护信息；</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呼叫响应</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对本房间患者呼叫进行显示与门灯闪烁提醒；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呼叫患者</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支持向病区患者发起呼叫，接通后可进行音视频通话，支持自动接通。</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呼叫医护</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支持向医护主机发起呼叫，接通后可进行音视频通话。</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接收呼叫</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支持接听、挂断、忽略三种形式的处理呼叫方式，选择“忽略”后只会挂断在当前终端的呼叫请求，而不影响其他终端接收。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呼叫优先级</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支持开启与关闭呼叫优先级功能，开启后，高优先级的呼叫发起后将自动中断进行中的低优先级呼叫，优先显示处理高优先级的呼叫请求。</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通话保持</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当医护主机正在进行音视频通话的时候，收到其他终端发来的呼叫通话请求，可以将当前通话设为保持状态，与其他终端进行音视频通话。</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多路通话</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支持一病区多主机模式，当一个主机正在通话中时，不影响其他主机等终端处理患者呼叫。</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门灯颜色配置</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针对患者呼叫类型与患者护理级别的不同进行不同颜色门灯的闪烁提醒；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护士查房</w:t>
            </w:r>
            <w:r/>
          </w:p>
        </w:tc>
        <w:tc>
          <w:tcPr>
            <w:tcW w:w="5699" w:type="dxa"/>
            <w:textDirection w:val="lrTb"/>
            <w:noWrap w:val="false"/>
          </w:tcPr>
          <w:p>
            <w:pPr>
              <w:spacing w:line="360" w:lineRule="auto"/>
              <w:rPr>
                <w:rFonts w:ascii="Times New Roman" w:hAnsi="Times New Roman"/>
                <w:color w:val="auto"/>
                <w:szCs w:val="21"/>
                <w:highlight w:val="none"/>
              </w:rPr>
            </w:pPr>
            <w:r>
              <w:rPr>
                <w:rFonts w:ascii="Times New Roman" w:hAnsi="Times New Roman"/>
                <w:bCs/>
                <w:color w:val="auto"/>
                <w:szCs w:val="21"/>
                <w:highlight w:val="none"/>
              </w:rPr>
              <w:t xml:space="preserve">配合护士身份卡完成记录护士查房信息；</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34"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模式切换</w:t>
            </w:r>
            <w:r/>
          </w:p>
        </w:tc>
        <w:tc>
          <w:tcPr>
            <w:tcW w:w="569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支持管房与管床两种显示模式的自由切换；</w:t>
            </w:r>
            <w:r/>
          </w:p>
        </w:tc>
      </w:tr>
    </w:tbl>
    <w:p>
      <w:pPr>
        <w:rPr>
          <w:color w:val="auto"/>
          <w:highlight w:val="none"/>
        </w:rPr>
      </w:pPr>
      <w:r>
        <w:rPr>
          <w:color w:val="auto"/>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2.6</w:t>
      </w:r>
      <w:r>
        <w:rPr>
          <w:rFonts w:ascii="Times New Roman" w:hAnsi="Times New Roman" w:eastAsia="宋体" w:cs="Times New Roman"/>
          <w:color w:val="auto"/>
          <w:sz w:val="21"/>
          <w:szCs w:val="21"/>
          <w:highlight w:val="none"/>
        </w:rPr>
        <w:t xml:space="preserve">卫生间按钮</w:t>
      </w:r>
      <w:r/>
    </w:p>
    <w:tbl>
      <w:tblPr>
        <w:tblStyle w:val="717"/>
        <w:tblW w:w="8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870"/>
        <w:gridCol w:w="1140"/>
        <w:gridCol w:w="6152"/>
      </w:tblGrid>
      <w:tr>
        <w:trPr/>
        <w:tc>
          <w:tcPr>
            <w:tcW w:w="54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615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70"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卫生间按钮</w:t>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防护等级</w:t>
            </w:r>
            <w:r/>
          </w:p>
        </w:tc>
        <w:tc>
          <w:tcPr>
            <w:tcW w:w="6152" w:type="dxa"/>
            <w:textDirection w:val="lrTb"/>
            <w:noWrap w:val="false"/>
          </w:tcPr>
          <w:p>
            <w:pPr>
              <w:pStyle w:val="696"/>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w:t>
            </w:r>
            <w:r>
              <w:rPr>
                <w:rFonts w:hint="eastAsia"/>
                <w:color w:val="auto"/>
                <w:highlight w:val="none"/>
              </w:rPr>
              <w:t xml:space="preserve">≥IP67</w:t>
            </w:r>
            <w:r>
              <w:rPr>
                <w:rFonts w:ascii="Times New Roman" w:hAnsi="Times New Roman"/>
                <w:color w:val="auto"/>
                <w:szCs w:val="21"/>
                <w:highlight w:val="none"/>
              </w:rPr>
              <w:t xml:space="preserve">防护等级</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呼叫按键占比大于25%；静电等级±15KV；</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rPr>
                <w:rFonts w:ascii="Times New Roman" w:hAnsi="Times New Roman"/>
                <w:color w:val="auto"/>
                <w:szCs w:val="21"/>
                <w:highlight w:val="none"/>
              </w:rPr>
              <w:t xml:space="preserve">具有专用取消按键，便于及时清除误操作，也支持在医护主机上取消报警</w:t>
            </w:r>
            <w:r>
              <w:rPr>
                <w:rFonts w:hint="eastAsia" w:ascii="Times New Roman" w:hAnsi="Times New Roman"/>
                <w:color w:val="auto"/>
                <w:szCs w:val="21"/>
                <w:highlight w:val="none"/>
              </w:rPr>
              <w:t xml:space="preserve">。</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组网方式</w:t>
            </w:r>
            <w:r/>
          </w:p>
        </w:tc>
        <w:tc>
          <w:tcPr>
            <w:tcW w:w="615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两线制组网；防冲突撞码：保证由主机下发的每一个分机码都能被对应的卫生间分机收到，形成贯通的通讯机制。</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功能支持</w:t>
            </w:r>
            <w:r/>
          </w:p>
        </w:tc>
        <w:tc>
          <w:tcPr>
            <w:tcW w:w="615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呼叫拉绳、蜂鸣器、灯光指示、呼叫取消按键</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声光报警</w:t>
            </w:r>
            <w:r/>
          </w:p>
        </w:tc>
        <w:tc>
          <w:tcPr>
            <w:tcW w:w="615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呼叫时有明显的声光报警提示，系统在病区中有广播提示，便于医护人员快速响应。</w:t>
            </w:r>
            <w:r/>
          </w:p>
        </w:tc>
      </w:tr>
    </w:tbl>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2.7吊装</w:t>
      </w:r>
      <w:r>
        <w:rPr>
          <w:rFonts w:ascii="Times New Roman" w:hAnsi="Times New Roman" w:eastAsia="宋体" w:cs="Times New Roman"/>
          <w:color w:val="auto"/>
          <w:sz w:val="21"/>
          <w:szCs w:val="21"/>
          <w:highlight w:val="none"/>
        </w:rPr>
        <w:t xml:space="preserve">走廊屏</w:t>
      </w:r>
      <w:r/>
    </w:p>
    <w:tbl>
      <w:tblPr>
        <w:tblStyle w:val="717"/>
        <w:tblW w:w="86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870"/>
        <w:gridCol w:w="1129"/>
        <w:gridCol w:w="6151"/>
      </w:tblGrid>
      <w:tr>
        <w:trPr/>
        <w:tc>
          <w:tcPr>
            <w:tcW w:w="543"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7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615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70" w:type="dxa"/>
            <w:vMerge w:val="restart"/>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吊装走廊屏</w:t>
            </w:r>
            <w:r/>
          </w:p>
        </w:tc>
        <w:tc>
          <w:tcPr>
            <w:tcW w:w="1129"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硬件参数</w:t>
            </w:r>
            <w:r/>
          </w:p>
        </w:tc>
        <w:tc>
          <w:tcPr>
            <w:tcW w:w="6151" w:type="dxa"/>
            <w:textDirection w:val="lrTb"/>
            <w:noWrap w:val="false"/>
          </w:tcPr>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1.</w:t>
            </w:r>
            <w:r>
              <w:rPr>
                <w:rFonts w:ascii="Times New Roman" w:hAnsi="Times New Roman"/>
                <w:color w:val="auto"/>
                <w:szCs w:val="21"/>
                <w:highlight w:val="none"/>
              </w:rPr>
              <w:t xml:space="preserve">安卓操作系统，版本号不低于Android 1</w:t>
            </w:r>
            <w:r>
              <w:rPr>
                <w:rFonts w:hint="eastAsia" w:ascii="Times New Roman" w:hAnsi="Times New Roman"/>
                <w:color w:val="auto"/>
                <w:szCs w:val="21"/>
                <w:highlight w:val="none"/>
              </w:rPr>
              <w:t xml:space="preserve">0</w:t>
            </w:r>
            <w:r>
              <w:rPr>
                <w:rFonts w:ascii="Times New Roman" w:hAnsi="Times New Roman"/>
                <w:color w:val="auto"/>
                <w:szCs w:val="21"/>
                <w:highlight w:val="none"/>
              </w:rPr>
              <w:t xml:space="preserve">.0；</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2.</w:t>
            </w:r>
            <w:r>
              <w:rPr>
                <w:rFonts w:ascii="Times New Roman" w:hAnsi="Times New Roman"/>
                <w:color w:val="auto"/>
                <w:szCs w:val="21"/>
                <w:highlight w:val="none"/>
              </w:rPr>
              <w:t xml:space="preserve">双面显示</w:t>
            </w:r>
            <w:r>
              <w:rPr>
                <w:rFonts w:hint="eastAsia" w:ascii="Times New Roman" w:hAnsi="Times New Roman"/>
                <w:color w:val="auto"/>
                <w:szCs w:val="21"/>
                <w:highlight w:val="none"/>
              </w:rPr>
              <w:t xml:space="preserve">屏幕</w:t>
            </w:r>
            <w:r>
              <w:rPr>
                <w:rFonts w:ascii="Times New Roman" w:hAnsi="Times New Roman"/>
                <w:color w:val="auto"/>
                <w:szCs w:val="21"/>
                <w:highlight w:val="none"/>
              </w:rPr>
              <w:t xml:space="preserve">，一体成型，</w:t>
            </w:r>
            <w:r>
              <w:rPr>
                <w:rFonts w:hint="eastAsia" w:ascii="Times New Roman" w:hAnsi="Times New Roman"/>
                <w:color w:val="auto"/>
                <w:szCs w:val="21"/>
                <w:highlight w:val="none"/>
              </w:rPr>
              <w:t xml:space="preserve">屏幕</w:t>
            </w:r>
            <w:r>
              <w:rPr>
                <w:rFonts w:ascii="Times New Roman" w:hAnsi="Times New Roman"/>
                <w:color w:val="auto"/>
                <w:szCs w:val="21"/>
                <w:highlight w:val="none"/>
              </w:rPr>
              <w:t xml:space="preserve">尺寸不低于28.6英寸；</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3.</w:t>
            </w:r>
            <w:r>
              <w:rPr>
                <w:rFonts w:ascii="Times New Roman" w:hAnsi="Times New Roman"/>
                <w:color w:val="auto"/>
                <w:szCs w:val="21"/>
                <w:highlight w:val="none"/>
              </w:rPr>
              <w:t xml:space="preserve">分辨率不低于1920×560；</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4.</w:t>
            </w:r>
            <w:r>
              <w:rPr>
                <w:rFonts w:ascii="Times New Roman" w:hAnsi="Times New Roman"/>
                <w:color w:val="auto"/>
                <w:szCs w:val="21"/>
                <w:highlight w:val="none"/>
              </w:rPr>
              <w:t xml:space="preserve">具备扬声器</w:t>
            </w:r>
            <w:r>
              <w:rPr>
                <w:rFonts w:hint="eastAsia" w:ascii="Times New Roman" w:hAnsi="Times New Roman"/>
                <w:color w:val="auto"/>
                <w:szCs w:val="21"/>
                <w:highlight w:val="none"/>
              </w:rPr>
              <w:t xml:space="preserve">；</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5.</w:t>
            </w:r>
            <w:r>
              <w:rPr>
                <w:rFonts w:ascii="Times New Roman" w:hAnsi="Times New Roman"/>
                <w:color w:val="auto"/>
                <w:szCs w:val="21"/>
                <w:highlight w:val="none"/>
              </w:rPr>
              <w:t xml:space="preserve">CPU:不低于6核；CPU主频不低于1.8GHz；</w:t>
            </w:r>
            <w:r/>
          </w:p>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6.</w:t>
            </w:r>
            <w:r>
              <w:rPr>
                <w:rFonts w:ascii="Times New Roman" w:hAnsi="Times New Roman"/>
                <w:color w:val="auto"/>
                <w:szCs w:val="21"/>
                <w:highlight w:val="none"/>
              </w:rPr>
              <w:t xml:space="preserve">运行内存不低于4G</w:t>
            </w:r>
            <w:r>
              <w:rPr>
                <w:rFonts w:hint="eastAsia" w:ascii="Times New Roman" w:hAnsi="Times New Roman"/>
                <w:color w:val="auto"/>
                <w:szCs w:val="21"/>
                <w:highlight w:val="none"/>
              </w:rPr>
              <w:t xml:space="preserve">；</w:t>
            </w:r>
            <w:r/>
          </w:p>
          <w:p>
            <w:pPr>
              <w:pStyle w:val="696"/>
              <w:spacing w:line="360" w:lineRule="auto"/>
              <w:rPr>
                <w:rFonts w:ascii="Times New Roman" w:hAnsi="Times New Roman"/>
                <w:b/>
                <w:bCs/>
                <w:color w:val="auto"/>
                <w:szCs w:val="21"/>
                <w:highlight w:val="none"/>
              </w:rPr>
            </w:pPr>
            <w:r>
              <w:rPr>
                <w:rFonts w:ascii="Times New Roman" w:hAnsi="Times New Roman"/>
                <w:color w:val="auto"/>
                <w:szCs w:val="21"/>
                <w:highlight w:val="none"/>
              </w:rPr>
              <w:t xml:space="preserve">▲</w:t>
            </w:r>
            <w:r>
              <w:rPr>
                <w:rFonts w:hint="eastAsia" w:ascii="Times New Roman" w:hAnsi="Times New Roman"/>
                <w:color w:val="auto"/>
                <w:szCs w:val="21"/>
                <w:highlight w:val="none"/>
              </w:rPr>
              <w:t xml:space="preserve">7.</w:t>
            </w:r>
            <w:r>
              <w:rPr>
                <w:rFonts w:ascii="Times New Roman" w:hAnsi="Times New Roman"/>
                <w:color w:val="auto"/>
                <w:szCs w:val="21"/>
                <w:highlight w:val="none"/>
              </w:rPr>
              <w:t xml:space="preserve">机身存储不低于32G。</w:t>
            </w:r>
            <w:r/>
          </w:p>
          <w:p>
            <w:pPr>
              <w:pStyle w:val="696"/>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以上▲</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呼叫信息展示</w:t>
            </w:r>
            <w:r/>
          </w:p>
        </w:tc>
        <w:tc>
          <w:tcPr>
            <w:tcW w:w="615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展示当前正在进行以及未处理的呼叫信息</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呼叫播报</w:t>
            </w:r>
            <w:r/>
          </w:p>
        </w:tc>
        <w:tc>
          <w:tcPr>
            <w:tcW w:w="615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支持对当前未处理的呼叫信息进行语音播报</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信息发布</w:t>
            </w:r>
            <w:r/>
          </w:p>
        </w:tc>
        <w:tc>
          <w:tcPr>
            <w:tcW w:w="615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▲当系统无呼叫时，展示本护理单元的信息发布类文章，支持定时播放与轮播。</w:t>
            </w:r>
            <w:r>
              <w:rPr>
                <w:rFonts w:hint="eastAsia" w:ascii="Times New Roman" w:hAnsi="Times New Roman"/>
                <w:b/>
                <w:color w:val="auto"/>
                <w:szCs w:val="21"/>
                <w:highlight w:val="none"/>
              </w:rPr>
              <w:t xml:space="preserve">（</w:t>
            </w:r>
            <w:r>
              <w:rPr>
                <w:rFonts w:ascii="Times New Roman" w:hAnsi="Times New Roman"/>
                <w:b/>
                <w:color w:val="auto"/>
                <w:szCs w:val="21"/>
                <w:highlight w:val="none"/>
              </w:rPr>
              <w:t xml:space="preserve">提供软件界面截图</w:t>
            </w:r>
            <w:r>
              <w:rPr>
                <w:rFonts w:hint="eastAsia" w:ascii="Times New Roman" w:hAnsi="Times New Roman"/>
                <w:b/>
                <w:color w:val="auto"/>
                <w:szCs w:val="21"/>
                <w:highlight w:val="none"/>
              </w:rPr>
              <w:t xml:space="preserve">，系统上传</w:t>
            </w:r>
            <w:r>
              <w:rPr>
                <w:rFonts w:ascii="Times New Roman" w:hAnsi="Times New Roman"/>
                <w:b/>
                <w:color w:val="auto"/>
                <w:szCs w:val="21"/>
                <w:highlight w:val="none"/>
              </w:rPr>
              <w:t xml:space="preserve">）</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播放视频</w:t>
            </w:r>
            <w:r/>
          </w:p>
        </w:tc>
        <w:tc>
          <w:tcPr>
            <w:tcW w:w="6151"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当系统无呼叫时信息发布时，展示本护理单元的信息发布视频</w:t>
            </w:r>
            <w:r/>
          </w:p>
        </w:tc>
      </w:tr>
      <w:tr>
        <w:trPr/>
        <w:tc>
          <w:tcPr>
            <w:tcW w:w="543"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870"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外扩喇叭输出</w:t>
            </w:r>
            <w:r/>
          </w:p>
        </w:tc>
        <w:tc>
          <w:tcPr>
            <w:tcW w:w="615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支持外接喇叭，呼叫播报及视频声音可在外扩喇叭外发声</w:t>
            </w:r>
            <w:r/>
          </w:p>
        </w:tc>
      </w:tr>
    </w:tbl>
    <w:p>
      <w:pPr>
        <w:rPr>
          <w:rFonts w:ascii="Times New Roman" w:hAnsi="Times New Roman"/>
          <w:color w:val="auto"/>
          <w:szCs w:val="21"/>
          <w:highlight w:val="none"/>
        </w:rPr>
      </w:pPr>
      <w:r>
        <w:rPr>
          <w:rFonts w:ascii="Times New Roman" w:hAnsi="Times New Roman"/>
          <w:color w:val="auto"/>
          <w:szCs w:val="21"/>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2.8</w:t>
      </w:r>
      <w:r>
        <w:rPr>
          <w:rFonts w:ascii="Times New Roman" w:hAnsi="Times New Roman" w:eastAsia="宋体" w:cs="Times New Roman"/>
          <w:color w:val="auto"/>
          <w:sz w:val="21"/>
          <w:szCs w:val="21"/>
          <w:highlight w:val="none"/>
        </w:rPr>
        <w:t xml:space="preserve">无线呼叫分机</w:t>
      </w:r>
      <w:r/>
    </w:p>
    <w:tbl>
      <w:tblPr>
        <w:tblStyle w:val="717"/>
        <w:tblW w:w="87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883"/>
        <w:gridCol w:w="1129"/>
        <w:gridCol w:w="6163"/>
      </w:tblGrid>
      <w:tr>
        <w:trPr/>
        <w:tc>
          <w:tcPr>
            <w:tcW w:w="53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616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3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3"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无线呼叫分机</w:t>
            </w:r>
            <w:r/>
          </w:p>
        </w:tc>
        <w:tc>
          <w:tcPr>
            <w:tcW w:w="1129"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硬件要求</w:t>
            </w:r>
            <w:r/>
          </w:p>
        </w:tc>
        <w:tc>
          <w:tcPr>
            <w:tcW w:w="6163" w:type="dxa"/>
            <w:textDirection w:val="lrTb"/>
            <w:noWrap w:val="false"/>
          </w:tcPr>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1.设备支持标准Lora通讯协议； </w:t>
            </w:r>
            <w:r/>
          </w:p>
          <w:p>
            <w:pPr>
              <w:jc w:val="left"/>
              <w:spacing w:line="360" w:lineRule="auto"/>
              <w:widowControl/>
              <w:tabs>
                <w:tab w:val="left" w:pos="425" w:leader="none"/>
              </w:tabs>
              <w:rPr>
                <w:rFonts w:ascii="Times New Roman" w:hAnsi="Times New Roman"/>
                <w:b/>
                <w:bCs/>
                <w:color w:val="auto"/>
                <w:szCs w:val="21"/>
                <w:highlight w:val="none"/>
              </w:rPr>
            </w:pPr>
            <w:r>
              <w:rPr>
                <w:rFonts w:ascii="Times New Roman" w:hAnsi="Times New Roman"/>
                <w:color w:val="auto"/>
                <w:szCs w:val="21"/>
                <w:highlight w:val="none"/>
              </w:rPr>
              <w:t xml:space="preserve">▲2.设备符合</w:t>
            </w:r>
            <w:r>
              <w:rPr>
                <w:rFonts w:hint="eastAsia" w:ascii="Times New Roman" w:hAnsi="Times New Roman"/>
                <w:color w:val="auto"/>
                <w:szCs w:val="21"/>
                <w:highlight w:val="none"/>
              </w:rPr>
              <w:t xml:space="preserve">不低于</w:t>
            </w:r>
            <w:r>
              <w:rPr>
                <w:rFonts w:ascii="Times New Roman" w:hAnsi="Times New Roman"/>
                <w:color w:val="auto"/>
                <w:szCs w:val="21"/>
                <w:highlight w:val="none"/>
              </w:rPr>
              <w:t xml:space="preserve">IP6</w:t>
            </w:r>
            <w:r>
              <w:rPr>
                <w:rFonts w:hint="eastAsia" w:ascii="Times New Roman" w:hAnsi="Times New Roman"/>
                <w:color w:val="auto"/>
                <w:szCs w:val="21"/>
                <w:highlight w:val="none"/>
              </w:rPr>
              <w:t xml:space="preserve">7防护</w:t>
            </w:r>
            <w:r>
              <w:rPr>
                <w:rFonts w:ascii="Times New Roman" w:hAnsi="Times New Roman"/>
                <w:color w:val="auto"/>
                <w:szCs w:val="21"/>
                <w:highlight w:val="none"/>
              </w:rPr>
              <w:t xml:space="preserve">等级；</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w:t>
            </w:r>
            <w:r>
              <w:rPr>
                <w:rFonts w:ascii="Times New Roman" w:hAnsi="Times New Roman"/>
                <w:color w:val="auto"/>
                <w:szCs w:val="21"/>
                <w:highlight w:val="none"/>
              </w:rPr>
              <w:t xml:space="preserve">具备指示灯，指示灯≥3色</w:t>
            </w:r>
            <w:r>
              <w:rPr>
                <w:rFonts w:hint="eastAsia" w:ascii="Times New Roman" w:hAnsi="Times New Roman"/>
                <w:color w:val="auto"/>
                <w:szCs w:val="21"/>
                <w:highlight w:val="none"/>
              </w:rPr>
              <w:t xml:space="preserve">，方便亏电提示、叫通提示、待机提示。</w:t>
            </w:r>
            <w:r/>
          </w:p>
          <w:p>
            <w:pPr>
              <w:jc w:val="left"/>
              <w:spacing w:line="360" w:lineRule="auto"/>
              <w:widowControl/>
              <w:tabs>
                <w:tab w:val="left" w:pos="425" w:leader="none"/>
              </w:tabs>
              <w:rPr>
                <w:rFonts w:ascii="Times New Roman" w:hAnsi="Times New Roman"/>
                <w:b/>
                <w:bCs/>
                <w:color w:val="auto"/>
                <w:szCs w:val="21"/>
                <w:highlight w:val="none"/>
              </w:rPr>
            </w:pPr>
            <w:r>
              <w:rPr>
                <w:rFonts w:ascii="Times New Roman" w:hAnsi="Times New Roman"/>
                <w:color w:val="auto"/>
                <w:szCs w:val="21"/>
                <w:highlight w:val="none"/>
              </w:rPr>
              <w:t xml:space="preserve">3.设备正常使用情况下续航时间不低于三年；</w:t>
            </w:r>
            <w:r/>
          </w:p>
          <w:p>
            <w:pPr>
              <w:jc w:val="left"/>
              <w:spacing w:line="360" w:lineRule="auto"/>
              <w:widowControl/>
              <w:tabs>
                <w:tab w:val="left" w:pos="425" w:leader="none"/>
              </w:tabs>
              <w:rPr>
                <w:rFonts w:ascii="Times New Roman" w:hAnsi="Times New Roman"/>
                <w:b/>
                <w:bCs/>
                <w:color w:val="auto"/>
                <w:szCs w:val="21"/>
                <w:highlight w:val="none"/>
              </w:rPr>
            </w:pPr>
            <w:r>
              <w:rPr>
                <w:rFonts w:ascii="Times New Roman" w:hAnsi="Times New Roman"/>
                <w:color w:val="auto"/>
                <w:szCs w:val="21"/>
                <w:highlight w:val="none"/>
              </w:rPr>
              <w:t xml:space="preserve">4.设备按键不少于2个：呼叫按键×1、取消按键×1；便于患者操作。</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5.呼叫拉绳：选配支持，搭配防水吊坠，吊坠水平截面直径不小于40mm，可防止拉绳贴附墙面。</w:t>
            </w:r>
            <w:r/>
          </w:p>
        </w:tc>
      </w:tr>
      <w:tr>
        <w:trPr/>
        <w:tc>
          <w:tcPr>
            <w:tcW w:w="53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2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软件要求</w:t>
            </w:r>
            <w:r/>
          </w:p>
        </w:tc>
        <w:tc>
          <w:tcPr>
            <w:tcW w:w="6163" w:type="dxa"/>
            <w:textDirection w:val="lrTb"/>
            <w:noWrap w:val="false"/>
          </w:tcPr>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1.支持通过呼叫按键发出呼叫，显示端收到呼叫并广播；</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2.支持通过取消呼叫按键取消已发出的呼叫；</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3.状态指示灯可以指示呼叫分机的实时状态；</w:t>
            </w:r>
            <w:r/>
          </w:p>
          <w:p>
            <w:pPr>
              <w:jc w:val="left"/>
              <w:spacing w:line="360" w:lineRule="auto"/>
              <w:widowControl/>
              <w:tabs>
                <w:tab w:val="left" w:pos="425" w:leader="none"/>
              </w:tabs>
              <w:rPr>
                <w:rFonts w:ascii="Times New Roman" w:hAnsi="Times New Roman"/>
                <w:b/>
                <w:bCs/>
                <w:color w:val="auto"/>
                <w:szCs w:val="21"/>
                <w:highlight w:val="none"/>
              </w:rPr>
            </w:pPr>
            <w:r>
              <w:rPr>
                <w:rFonts w:ascii="Times New Roman" w:hAnsi="Times New Roman"/>
                <w:color w:val="auto"/>
                <w:szCs w:val="21"/>
                <w:highlight w:val="none"/>
              </w:rPr>
              <w:t xml:space="preserve">▲4.支持自动检测电池电量，电量过低时提醒；</w:t>
            </w:r>
            <w:r>
              <w:rPr>
                <w:rFonts w:hint="eastAsia" w:ascii="Times New Roman" w:hAnsi="Times New Roman"/>
                <w:b/>
                <w:color w:val="auto"/>
                <w:szCs w:val="21"/>
                <w:highlight w:val="none"/>
              </w:rPr>
              <w:t xml:space="preserve">（</w:t>
            </w:r>
            <w:r>
              <w:rPr>
                <w:rFonts w:ascii="Times New Roman" w:hAnsi="Times New Roman"/>
                <w:b/>
                <w:color w:val="auto"/>
                <w:szCs w:val="21"/>
                <w:highlight w:val="none"/>
              </w:rPr>
              <w:t xml:space="preserve">提供软件界面截图</w:t>
            </w:r>
            <w:r>
              <w:rPr>
                <w:rFonts w:hint="eastAsia" w:ascii="Times New Roman" w:hAnsi="Times New Roman"/>
                <w:b/>
                <w:color w:val="auto"/>
                <w:szCs w:val="21"/>
                <w:highlight w:val="none"/>
              </w:rPr>
              <w:t xml:space="preserve">，系统上传</w:t>
            </w:r>
            <w:r>
              <w:rPr>
                <w:rFonts w:ascii="Times New Roman" w:hAnsi="Times New Roman"/>
                <w:b/>
                <w:color w:val="auto"/>
                <w:szCs w:val="21"/>
                <w:highlight w:val="none"/>
              </w:rPr>
              <w:t xml:space="preserve">）</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5.支持OTA升级。</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6.与现有病房呼叫系统进行联动呼叫，实现无缝对接。</w:t>
            </w:r>
            <w:r/>
          </w:p>
        </w:tc>
      </w:tr>
    </w:tbl>
    <w:p>
      <w:pPr>
        <w:rPr>
          <w:rFonts w:ascii="Times New Roman" w:hAnsi="Times New Roman"/>
          <w:color w:val="auto"/>
          <w:szCs w:val="21"/>
          <w:highlight w:val="none"/>
        </w:rPr>
      </w:pPr>
      <w:r>
        <w:rPr>
          <w:rFonts w:ascii="Times New Roman" w:hAnsi="Times New Roman"/>
          <w:color w:val="auto"/>
          <w:szCs w:val="21"/>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2.9</w:t>
      </w:r>
      <w:r>
        <w:rPr>
          <w:rFonts w:ascii="Times New Roman" w:hAnsi="Times New Roman" w:eastAsia="宋体" w:cs="Times New Roman"/>
          <w:color w:val="auto"/>
          <w:sz w:val="21"/>
          <w:szCs w:val="21"/>
          <w:highlight w:val="none"/>
        </w:rPr>
        <w:t xml:space="preserve">智能物联网关</w:t>
      </w:r>
      <w:r/>
    </w:p>
    <w:tbl>
      <w:tblPr>
        <w:tblStyle w:val="717"/>
        <w:tblW w:w="87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0"/>
        <w:gridCol w:w="883"/>
        <w:gridCol w:w="1140"/>
        <w:gridCol w:w="6165"/>
      </w:tblGrid>
      <w:tr>
        <w:trPr/>
        <w:tc>
          <w:tcPr>
            <w:tcW w:w="530"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4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6165"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53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3"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智能物联网关</w:t>
            </w:r>
            <w:r/>
          </w:p>
        </w:tc>
        <w:tc>
          <w:tcPr>
            <w:tcW w:w="1140" w:type="dxa"/>
            <w:textDirection w:val="lrTb"/>
            <w:noWrap w:val="false"/>
          </w:tcPr>
          <w:p>
            <w:pPr>
              <w:jc w:val="left"/>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硬件要求</w:t>
            </w:r>
            <w:r/>
          </w:p>
        </w:tc>
        <w:tc>
          <w:tcPr>
            <w:tcW w:w="6165" w:type="dxa"/>
            <w:textDirection w:val="lrTb"/>
            <w:noWrap w:val="false"/>
          </w:tcPr>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1.支持主控芯片内置与外部独立芯片的双看门狗安全机制；</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2.通信模式支持标准</w:t>
            </w:r>
            <w:r>
              <w:rPr>
                <w:rFonts w:hint="eastAsia" w:ascii="Times New Roman" w:hAnsi="Times New Roman"/>
                <w:color w:val="auto"/>
                <w:szCs w:val="21"/>
                <w:highlight w:val="none"/>
              </w:rPr>
              <w:t xml:space="preserve">物联</w:t>
            </w:r>
            <w:r>
              <w:rPr>
                <w:rFonts w:ascii="Times New Roman" w:hAnsi="Times New Roman"/>
                <w:color w:val="auto"/>
                <w:szCs w:val="21"/>
                <w:highlight w:val="none"/>
              </w:rPr>
              <w:t xml:space="preserve">通讯协议通信；支持异频全双工</w:t>
            </w:r>
            <w:r>
              <w:rPr>
                <w:rFonts w:ascii="Times New Roman" w:hAnsi="Times New Roman"/>
                <w:b/>
                <w:bCs/>
                <w:color w:val="auto"/>
                <w:szCs w:val="21"/>
                <w:highlight w:val="none"/>
              </w:rPr>
              <w:t xml:space="preserve">；</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3.设备支持RJ45接口，RS232接口；</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4.设备具有金属外壳，保证强度，避免内部主板被静电、电磁波干扰。</w:t>
            </w:r>
            <w:r/>
          </w:p>
        </w:tc>
      </w:tr>
      <w:tr>
        <w:trPr/>
        <w:tc>
          <w:tcPr>
            <w:tcW w:w="530"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40" w:type="dxa"/>
            <w:textDirection w:val="lrTb"/>
            <w:noWrap w:val="false"/>
          </w:tcPr>
          <w:p>
            <w:pPr>
              <w:pStyle w:val="696"/>
              <w:rPr>
                <w:rFonts w:ascii="Times New Roman" w:hAnsi="Times New Roman"/>
                <w:color w:val="auto"/>
                <w:szCs w:val="21"/>
                <w:highlight w:val="none"/>
              </w:rPr>
            </w:pPr>
            <w:r>
              <w:rPr>
                <w:rFonts w:hint="eastAsia"/>
                <w:color w:val="auto"/>
                <w:highlight w:val="none"/>
              </w:rPr>
              <w:t xml:space="preserve">功能要求</w:t>
            </w:r>
            <w:r/>
          </w:p>
        </w:tc>
        <w:tc>
          <w:tcPr>
            <w:tcW w:w="6165" w:type="dxa"/>
            <w:textDirection w:val="lrTb"/>
            <w:noWrap w:val="false"/>
          </w:tcPr>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1.具备状态自检功能，支持状态自检，异常状态自恢复；</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2.具备网络配置功能，支持使用专用配置工具进行网关配置、网关升级；</w:t>
            </w:r>
            <w:r/>
          </w:p>
          <w:p>
            <w:pPr>
              <w:jc w:val="left"/>
              <w:spacing w:line="360" w:lineRule="auto"/>
              <w:widowControl/>
              <w:tabs>
                <w:tab w:val="left" w:pos="425" w:leader="none"/>
              </w:tabs>
              <w:rPr>
                <w:rFonts w:ascii="Times New Roman" w:hAnsi="Times New Roman"/>
                <w:color w:val="auto"/>
                <w:szCs w:val="21"/>
                <w:highlight w:val="none"/>
              </w:rPr>
            </w:pPr>
            <w:r>
              <w:rPr>
                <w:rFonts w:ascii="Times New Roman" w:hAnsi="Times New Roman"/>
                <w:color w:val="auto"/>
                <w:szCs w:val="21"/>
                <w:highlight w:val="none"/>
              </w:rPr>
              <w:t xml:space="preserve">3.具备智能物联网关的功能，能够接收和转发设备消息；</w:t>
            </w:r>
            <w:r/>
          </w:p>
        </w:tc>
      </w:tr>
    </w:tbl>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2.10 </w:t>
      </w:r>
      <w:r>
        <w:rPr>
          <w:rFonts w:ascii="Times New Roman" w:hAnsi="Times New Roman" w:eastAsia="宋体" w:cs="Times New Roman"/>
          <w:color w:val="auto"/>
          <w:sz w:val="21"/>
          <w:szCs w:val="21"/>
          <w:highlight w:val="none"/>
        </w:rPr>
        <w:t xml:space="preserve">ICU床头分机</w:t>
      </w:r>
      <w:r/>
    </w:p>
    <w:tbl>
      <w:tblPr>
        <w:tblStyle w:val="717"/>
        <w:tblW w:w="822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709"/>
        <w:gridCol w:w="1192"/>
        <w:gridCol w:w="5621"/>
      </w:tblGrid>
      <w:tr>
        <w:trPr/>
        <w:tc>
          <w:tcPr>
            <w:tcW w:w="704"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70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192"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21"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709"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ICU床头分机</w:t>
            </w:r>
            <w:r/>
          </w:p>
        </w:tc>
        <w:tc>
          <w:tcPr>
            <w:tcW w:w="1192"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硬件参数</w:t>
            </w:r>
            <w:r/>
          </w:p>
        </w:tc>
        <w:tc>
          <w:tcPr>
            <w:tcW w:w="5621" w:type="dxa"/>
            <w:textDirection w:val="lrTb"/>
            <w:noWrap w:val="false"/>
          </w:tcPr>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▲1.安卓操作系统，版本号不低于Android 1</w:t>
            </w:r>
            <w:r>
              <w:rPr>
                <w:rFonts w:hint="eastAsia" w:ascii="Times New Roman" w:hAnsi="Times New Roman"/>
                <w:bCs/>
                <w:color w:val="auto"/>
                <w:szCs w:val="21"/>
                <w:highlight w:val="none"/>
              </w:rPr>
              <w:t xml:space="preserve">0.0</w:t>
            </w:r>
            <w:r>
              <w:rPr>
                <w:rFonts w:ascii="Times New Roman" w:hAnsi="Times New Roman"/>
                <w:bCs/>
                <w:color w:val="auto"/>
                <w:szCs w:val="21"/>
                <w:highlight w:val="none"/>
              </w:rPr>
              <w:t xml:space="preserve">；</w:t>
            </w:r>
            <w:r/>
          </w:p>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2.</w:t>
            </w:r>
            <w:r>
              <w:rPr>
                <w:rFonts w:ascii="Times New Roman" w:hAnsi="Times New Roman"/>
                <w:bCs/>
                <w:color w:val="auto"/>
                <w:szCs w:val="21"/>
                <w:highlight w:val="none"/>
              </w:rPr>
              <w:t xml:space="preserve">尺寸不低于10.0英寸IPS屏</w:t>
            </w:r>
            <w:r>
              <w:rPr>
                <w:rFonts w:hint="eastAsia" w:ascii="Times New Roman" w:hAnsi="Times New Roman"/>
                <w:bCs/>
                <w:color w:val="auto"/>
                <w:szCs w:val="21"/>
                <w:highlight w:val="none"/>
              </w:rPr>
              <w:t xml:space="preserve">；</w:t>
            </w:r>
            <w:r/>
          </w:p>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3.</w:t>
            </w:r>
            <w:r>
              <w:rPr>
                <w:rFonts w:ascii="Times New Roman" w:hAnsi="Times New Roman"/>
                <w:bCs/>
                <w:color w:val="auto"/>
                <w:szCs w:val="21"/>
                <w:highlight w:val="none"/>
              </w:rPr>
              <w:t xml:space="preserve">分辨率不低于1280*800；</w:t>
            </w:r>
            <w:r/>
          </w:p>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4.</w:t>
            </w:r>
            <w:r>
              <w:rPr>
                <w:rFonts w:ascii="Times New Roman" w:hAnsi="Times New Roman"/>
                <w:bCs/>
                <w:color w:val="auto"/>
                <w:szCs w:val="21"/>
                <w:highlight w:val="none"/>
              </w:rPr>
              <w:t xml:space="preserve">CPU不低于4核，主频不低于1.8GHz；</w:t>
            </w:r>
            <w:r/>
          </w:p>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5.</w:t>
            </w:r>
            <w:r>
              <w:rPr>
                <w:rFonts w:ascii="Times New Roman" w:hAnsi="Times New Roman"/>
                <w:bCs/>
                <w:color w:val="auto"/>
                <w:szCs w:val="21"/>
                <w:highlight w:val="none"/>
              </w:rPr>
              <w:t xml:space="preserve">运行内存不低于2G，</w:t>
            </w:r>
            <w:r/>
          </w:p>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6.</w:t>
            </w:r>
            <w:r>
              <w:rPr>
                <w:rFonts w:ascii="Times New Roman" w:hAnsi="Times New Roman"/>
                <w:bCs/>
                <w:color w:val="auto"/>
                <w:szCs w:val="21"/>
                <w:highlight w:val="none"/>
              </w:rPr>
              <w:t xml:space="preserve">机身存储不低于32G</w:t>
            </w:r>
            <w:r>
              <w:rPr>
                <w:rFonts w:hint="eastAsia" w:ascii="Times New Roman" w:hAnsi="Times New Roman"/>
                <w:color w:val="auto"/>
                <w:szCs w:val="21"/>
                <w:highlight w:val="none"/>
              </w:rPr>
              <w:t xml:space="preserve">；</w:t>
            </w:r>
            <w:r/>
          </w:p>
          <w:p>
            <w:pPr>
              <w:pStyle w:val="696"/>
              <w:spacing w:line="360" w:lineRule="auto"/>
              <w:rPr>
                <w:rFonts w:ascii="Times New Roman" w:hAnsi="Times New Roman"/>
                <w:bCs/>
                <w:color w:val="auto"/>
                <w:szCs w:val="21"/>
                <w:highlight w:val="none"/>
              </w:rPr>
            </w:pPr>
            <w:r>
              <w:rPr>
                <w:rFonts w:ascii="Times New Roman" w:hAnsi="Times New Roman"/>
                <w:bCs/>
                <w:color w:val="auto"/>
                <w:szCs w:val="21"/>
                <w:highlight w:val="none"/>
              </w:rPr>
              <w:t xml:space="preserve">▲</w:t>
            </w:r>
            <w:r>
              <w:rPr>
                <w:rFonts w:hint="eastAsia" w:ascii="Times New Roman" w:hAnsi="Times New Roman"/>
                <w:bCs/>
                <w:color w:val="auto"/>
                <w:szCs w:val="21"/>
                <w:highlight w:val="none"/>
              </w:rPr>
              <w:t xml:space="preserve">7.屏幕</w:t>
            </w:r>
            <w:r>
              <w:rPr>
                <w:rFonts w:ascii="Times New Roman" w:hAnsi="Times New Roman"/>
                <w:bCs/>
                <w:color w:val="auto"/>
                <w:szCs w:val="21"/>
                <w:highlight w:val="none"/>
              </w:rPr>
              <w:t xml:space="preserve">尺寸</w:t>
            </w:r>
            <w:r>
              <w:rPr>
                <w:rFonts w:ascii="Times New Roman" w:hAnsi="Times New Roman"/>
                <w:color w:val="auto"/>
                <w:szCs w:val="21"/>
                <w:highlight w:val="none"/>
              </w:rPr>
              <w:t xml:space="preserve">≥</w:t>
            </w:r>
            <w:r>
              <w:rPr>
                <w:rFonts w:ascii="Times New Roman" w:hAnsi="Times New Roman"/>
                <w:bCs/>
                <w:color w:val="auto"/>
                <w:szCs w:val="21"/>
                <w:highlight w:val="none"/>
              </w:rPr>
              <w:t xml:space="preserve">7英寸</w:t>
            </w:r>
            <w:r>
              <w:rPr>
                <w:rFonts w:hint="eastAsia" w:ascii="Times New Roman" w:hAnsi="Times New Roman"/>
                <w:bCs/>
                <w:color w:val="auto"/>
                <w:szCs w:val="21"/>
                <w:highlight w:val="none"/>
              </w:rPr>
              <w:t xml:space="preserve">；</w:t>
            </w:r>
            <w:r/>
          </w:p>
          <w:p>
            <w:pPr>
              <w:pStyle w:val="696"/>
              <w:spacing w:line="360" w:lineRule="auto"/>
              <w:rPr>
                <w:rFonts w:ascii="Times New Roman" w:hAnsi="Times New Roman"/>
                <w:color w:val="auto"/>
                <w:szCs w:val="21"/>
                <w:highlight w:val="none"/>
              </w:rPr>
            </w:pPr>
            <w:r>
              <w:rPr>
                <w:rFonts w:ascii="Times New Roman" w:hAnsi="Times New Roman"/>
                <w:b/>
                <w:bCs/>
                <w:color w:val="auto"/>
                <w:szCs w:val="21"/>
                <w:highlight w:val="none"/>
              </w:rPr>
              <w:t xml:space="preserve">（</w:t>
            </w:r>
            <w:r>
              <w:rPr>
                <w:rFonts w:hint="eastAsia" w:ascii="Times New Roman" w:hAnsi="Times New Roman"/>
                <w:b/>
                <w:bCs/>
                <w:color w:val="auto"/>
                <w:szCs w:val="21"/>
                <w:highlight w:val="none"/>
              </w:rPr>
              <w:t xml:space="preserve">以上</w:t>
            </w:r>
            <w:r>
              <w:rPr>
                <w:rFonts w:ascii="Times New Roman" w:hAnsi="Times New Roman"/>
                <w:bCs/>
                <w:color w:val="auto"/>
                <w:szCs w:val="21"/>
                <w:highlight w:val="none"/>
              </w:rPr>
              <w:t xml:space="preserve">▲</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8</w:t>
            </w:r>
            <w:r>
              <w:rPr>
                <w:rFonts w:ascii="Times New Roman" w:hAnsi="Times New Roman"/>
                <w:bCs/>
                <w:color w:val="auto"/>
                <w:szCs w:val="21"/>
                <w:highlight w:val="none"/>
              </w:rPr>
              <w:t xml:space="preserve">.电容触摸屏，防指纹，支持多点触控；具备前置摄像头，像素不低于800万；扬声器：双声道,采用下出音方式；支持WiFi：2.4G/5G双频；支持不低于蓝牙4.2；支持：光感模块、IC卡读卡模块；支持息屏物理按键。</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9.组网方式：为适应医院复杂的部署环境，投标单位可根据自身技术路线、医院实际情况自行选择其中一种方式或两种方式并用：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方式一：10/100/1000Mbps自适应以太网</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采用标准以太网接口，提供千兆高速连接。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方式二：两线制组网 </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采用一条两芯线，同时实现数据通信与供电。</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10.</w:t>
            </w:r>
            <w:r>
              <w:rPr>
                <w:rFonts w:ascii="Times New Roman" w:hAnsi="Times New Roman"/>
                <w:bCs/>
                <w:color w:val="auto"/>
                <w:szCs w:val="21"/>
                <w:highlight w:val="none"/>
              </w:rPr>
              <w:t xml:space="preserve">接口：USB2.0、RJ45转接口、呼叫开关接口、扬声器转接口；</w:t>
            </w:r>
            <w:r/>
          </w:p>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11.</w:t>
            </w:r>
            <w:r>
              <w:rPr>
                <w:rFonts w:ascii="Times New Roman" w:hAnsi="Times New Roman"/>
                <w:bCs/>
                <w:color w:val="auto"/>
                <w:szCs w:val="21"/>
                <w:highlight w:val="none"/>
              </w:rPr>
              <w:t xml:space="preserve">支持电源适配器供电、POE供电、电源箱集中供电三种方式。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护理呼叫</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支持向病区护士发起呼叫请求，提供音频呼叫、视频呼叫等多种呼叫发起方式；换药呼叫：支持直接发起换药呼叫请求，无需接通，快速响应；增援呼叫：护士可发起增援呼叫求助，方便护理人员迅速定位所需增援床位；呼叫转移：护士进入房间后，可使用该房间内床头分机接听其他房间患者床头分机的呼叫，并进行双向音视频对讲。</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呼叫联动</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床头分机发起呼叫时，可联动医护主机、医生助手、门口分机、走廊显示屏、值班室分机、门灯等终端设备联动，保障呼叫信息及时有效传递。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护理床头卡</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支持显示患者的各项信息，如姓名、床号、性别、年龄、入院日期、过敏史、饮食类型等基本信息以及防跌倒、防压疮、非计划拔管等预警信息，支持样式定制；</w:t>
            </w:r>
            <w:r/>
          </w:p>
        </w:tc>
      </w:tr>
      <w:tr>
        <w:trPr>
          <w:trHeight w:val="445"/>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智能宣教</w:t>
            </w:r>
            <w:r/>
          </w:p>
        </w:tc>
        <w:tc>
          <w:tcPr>
            <w:tcW w:w="5621" w:type="dxa"/>
            <w:textDirection w:val="lrTb"/>
            <w:noWrap w:val="false"/>
          </w:tcPr>
          <w:p>
            <w:pPr>
              <w:spacing w:line="360" w:lineRule="auto"/>
              <w:rPr>
                <w:rFonts w:ascii="Times New Roman" w:hAnsi="Times New Roman"/>
                <w:bCs/>
                <w:color w:val="auto"/>
                <w:szCs w:val="21"/>
                <w:highlight w:val="none"/>
              </w:rPr>
            </w:pPr>
            <w:r>
              <w:rPr>
                <w:rFonts w:hint="eastAsia" w:ascii="宋体" w:hAnsi="宋体"/>
                <w:color w:val="auto"/>
                <w:szCs w:val="21"/>
                <w:highlight w:val="none"/>
              </w:rPr>
              <w:t xml:space="preserve">系统支持智能宣教和宣教状态的查询。</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护理任务</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展示患者的护理类医嘱，方便护士执行时自主查询。</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消息提醒</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具备自动提醒与手动推送两种形式，自动提醒支持欠费提醒、服药提醒、信息变更提醒、手术提醒、检查检验提醒等，手动推送支持对阅读状态的统计。</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诊疗信息</w:t>
            </w:r>
            <w:r/>
          </w:p>
        </w:tc>
        <w:tc>
          <w:tcPr>
            <w:tcW w:w="5621" w:type="dxa"/>
            <w:textDirection w:val="lrTb"/>
            <w:noWrap w:val="false"/>
          </w:tcPr>
          <w:p>
            <w:pPr>
              <w:spacing w:line="360" w:lineRule="auto"/>
              <w:rPr>
                <w:rFonts w:ascii="Times New Roman" w:hAnsi="Times New Roman"/>
                <w:bCs/>
                <w:color w:val="auto"/>
                <w:szCs w:val="21"/>
                <w:highlight w:val="none"/>
              </w:rPr>
            </w:pPr>
            <w:r>
              <w:rPr>
                <w:rFonts w:hint="eastAsia" w:ascii="宋体" w:hAnsi="宋体"/>
                <w:color w:val="auto"/>
                <w:szCs w:val="21"/>
                <w:highlight w:val="none"/>
              </w:rPr>
              <w:t xml:space="preserve">支持查看患者住院期间诊疗信息</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智能闹钟</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吸氧、皮试及其他辅助器械使用时，可设置闹钟计时提醒。</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医疗计算器</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内置医疗计算器，包括“静脉补液滴速”“平均动脉压”“日胰岛素用量”等，护士输入完成相关项后，自动计算结果。</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播放广播</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护士站医护主机进行广播时，床头分机可以播放相应广播内容。</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宕机呼叫</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服务器重启、宕机、停电等特殊情况均不影响正常患者向主机的呼叫功能。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屏幕亮度调整</w:t>
            </w:r>
            <w:r/>
          </w:p>
        </w:tc>
        <w:tc>
          <w:tcPr>
            <w:tcW w:w="5621"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支持后台配置多时间段屏幕亮度或亮、息屏，可根据医院作息灵活控制。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14</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终端音量调整</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支持后台配置多时间段终端音量，可根据医院作息灵活控制。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15</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吸氧到时提醒</w:t>
            </w:r>
            <w:r/>
          </w:p>
        </w:tc>
        <w:tc>
          <w:tcPr>
            <w:tcW w:w="5621" w:type="dxa"/>
            <w:textDirection w:val="lrTb"/>
            <w:noWrap w:val="false"/>
          </w:tcPr>
          <w:p>
            <w:pPr>
              <w:jc w:val="left"/>
              <w:spacing w:line="360" w:lineRule="auto"/>
              <w:widowControl/>
              <w:rPr>
                <w:rFonts w:ascii="Times New Roman" w:hAnsi="Times New Roman"/>
                <w:color w:val="auto"/>
                <w:szCs w:val="21"/>
                <w:highlight w:val="none"/>
              </w:rPr>
            </w:pPr>
            <w:r>
              <w:rPr>
                <w:rFonts w:hint="eastAsia" w:ascii="宋体" w:hAnsi="宋体"/>
                <w:color w:val="auto"/>
                <w:szCs w:val="21"/>
                <w:highlight w:val="none"/>
              </w:rPr>
              <w:t xml:space="preserve">可手动设置吸氧时间，吸氧到时后可主动提醒“XX床吸氧结束”。</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16</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回音消除</w:t>
            </w:r>
            <w:r/>
          </w:p>
        </w:tc>
        <w:tc>
          <w:tcPr>
            <w:tcW w:w="5621" w:type="dxa"/>
            <w:textDirection w:val="lrTb"/>
            <w:noWrap w:val="false"/>
          </w:tcPr>
          <w:p>
            <w:pPr>
              <w:jc w:val="left"/>
              <w:spacing w:line="360" w:lineRule="auto"/>
              <w:widowControl/>
              <w:rPr>
                <w:rFonts w:ascii="Times New Roman" w:hAnsi="Times New Roman"/>
                <w:color w:val="auto"/>
                <w:szCs w:val="21"/>
                <w:highlight w:val="none"/>
              </w:rPr>
            </w:pPr>
            <w:r>
              <w:rPr>
                <w:rFonts w:hint="eastAsia" w:ascii="宋体" w:hAnsi="宋体"/>
                <w:color w:val="auto"/>
                <w:szCs w:val="21"/>
                <w:highlight w:val="none"/>
              </w:rPr>
              <w:t xml:space="preserve">具备回音消除算法，优化通话噪音，提高通话质量。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17</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自动增益</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患者或家属说话声音小时也可保证通话效果，无需护士到床头二次确认。</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18</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噪音抑制</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通过噪音抑制法，降低通话中的环境噪音，提高通话质量。</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19</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网络抖动抑制</w:t>
            </w:r>
            <w:r/>
          </w:p>
        </w:tc>
        <w:tc>
          <w:tcPr>
            <w:tcW w:w="5621" w:type="dxa"/>
            <w:textDirection w:val="lrTb"/>
            <w:noWrap w:val="false"/>
          </w:tcPr>
          <w:p>
            <w:pPr>
              <w:spacing w:line="360" w:lineRule="auto"/>
              <w:rPr>
                <w:rFonts w:ascii="Times New Roman" w:hAnsi="Times New Roman"/>
                <w:bCs/>
                <w:color w:val="auto"/>
                <w:szCs w:val="21"/>
                <w:highlight w:val="none"/>
              </w:rPr>
            </w:pPr>
            <w:r>
              <w:rPr>
                <w:rFonts w:hint="eastAsia" w:ascii="宋体" w:hAnsi="宋体"/>
                <w:color w:val="auto"/>
                <w:szCs w:val="21"/>
                <w:highlight w:val="none"/>
              </w:rPr>
              <w:t xml:space="preserve">可在弱网环境下提供高效网络传输、通话功能，提升用户通讯体验。</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20</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硬件看门狗</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硬件看门狗设计，支持设备异常时自动重启功能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21</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硬件重启</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支持通过实体组合按键，完成硬件重启功能，并设有防误触机制。</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22</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延时上电</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为防止多设备同时启动时瞬时电流过大，设备支持延时上电功能。</w:t>
            </w:r>
            <w:r/>
          </w:p>
        </w:tc>
      </w:tr>
      <w:tr>
        <w:trPr/>
        <w:tc>
          <w:tcPr>
            <w:tcW w:w="704"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23</w:t>
            </w:r>
            <w:r/>
          </w:p>
        </w:tc>
        <w:tc>
          <w:tcPr>
            <w:tcW w:w="709"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192"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显示内容</w:t>
            </w:r>
            <w:r/>
          </w:p>
        </w:tc>
        <w:tc>
          <w:tcPr>
            <w:tcW w:w="5621" w:type="dxa"/>
            <w:textDirection w:val="lrTb"/>
            <w:noWrap w:val="false"/>
          </w:tcPr>
          <w:p>
            <w:pPr>
              <w:spacing w:line="360" w:lineRule="auto"/>
              <w:rPr>
                <w:rFonts w:ascii="Times New Roman" w:hAnsi="Times New Roman"/>
                <w:color w:val="auto"/>
                <w:szCs w:val="21"/>
                <w:highlight w:val="none"/>
              </w:rPr>
            </w:pPr>
            <w:r>
              <w:rPr>
                <w:rFonts w:hint="eastAsia" w:ascii="宋体" w:hAnsi="宋体"/>
                <w:color w:val="auto"/>
                <w:szCs w:val="21"/>
                <w:highlight w:val="none"/>
              </w:rPr>
              <w:t xml:space="preserve">可根据医院需求拓展对接医疗资料、接入点餐、预约护工、游戏娱乐、问卷调查等非医疗服务。</w:t>
            </w:r>
            <w:r/>
          </w:p>
        </w:tc>
      </w:tr>
    </w:tbl>
    <w:p>
      <w:pPr>
        <w:rPr>
          <w:color w:val="auto"/>
          <w:highlight w:val="none"/>
        </w:rPr>
      </w:pPr>
      <w:r>
        <w:rPr>
          <w:color w:val="auto"/>
          <w:highlight w:val="none"/>
        </w:rPr>
      </w:r>
      <w:r/>
    </w:p>
    <w:p>
      <w:pPr>
        <w:rPr>
          <w:color w:val="auto"/>
          <w:highlight w:val="none"/>
        </w:rPr>
      </w:pPr>
      <w:r>
        <w:rPr>
          <w:color w:val="auto"/>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2.11</w:t>
      </w:r>
      <w:r>
        <w:rPr>
          <w:rFonts w:ascii="Times New Roman" w:hAnsi="Times New Roman" w:eastAsia="宋体" w:cs="Times New Roman"/>
          <w:color w:val="auto"/>
          <w:sz w:val="21"/>
          <w:szCs w:val="21"/>
          <w:highlight w:val="none"/>
        </w:rPr>
        <w:t xml:space="preserve">悬臂支架</w:t>
      </w:r>
      <w:r/>
    </w:p>
    <w:tbl>
      <w:tblPr>
        <w:tblStyle w:val="717"/>
        <w:tblW w:w="8348"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883"/>
        <w:gridCol w:w="1200"/>
        <w:gridCol w:w="5607"/>
      </w:tblGrid>
      <w:tr>
        <w:trPr/>
        <w:tc>
          <w:tcPr>
            <w:tcW w:w="6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3"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悬臂支架</w:t>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支架长度</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支架展开最大长度不低于1200mm</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升降范围</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升降范围不低于500mm</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升降角度</w:t>
            </w:r>
            <w:r/>
          </w:p>
        </w:tc>
        <w:tc>
          <w:tcPr>
            <w:tcW w:w="5607" w:type="dxa"/>
            <w:textDirection w:val="lrTb"/>
            <w:noWrap w:val="false"/>
          </w:tcPr>
          <w:p>
            <w:pPr>
              <w:jc w:val="left"/>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升降角度不少于70°</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悬停重量</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0-2.5kg</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升降位置</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悬臂支架可升降，万向旋转，可在任意位置、任意角度悬停</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设备线路</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设备线束通过悬臂支架内部与设备连接，无外露线束</w:t>
            </w:r>
            <w:r/>
          </w:p>
        </w:tc>
      </w:tr>
      <w:tr>
        <w:trPr>
          <w:trHeight w:val="471"/>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883"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耐久度</w:t>
            </w:r>
            <w:r/>
          </w:p>
        </w:tc>
        <w:tc>
          <w:tcPr>
            <w:tcW w:w="5607"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悬臂支架不少于20万次的耐久测试</w:t>
            </w:r>
            <w:r/>
          </w:p>
        </w:tc>
      </w:tr>
    </w:tbl>
    <w:p>
      <w:pPr>
        <w:jc w:val="left"/>
        <w:spacing w:line="360" w:lineRule="auto"/>
        <w:widowControl/>
        <w:rPr>
          <w:rFonts w:ascii="Times New Roman" w:hAnsi="Times New Roman"/>
          <w:bCs/>
          <w:color w:val="auto"/>
          <w:szCs w:val="21"/>
          <w:highlight w:val="none"/>
        </w:rPr>
      </w:pPr>
      <w:r>
        <w:rPr>
          <w:rFonts w:ascii="Times New Roman" w:hAnsi="Times New Roman"/>
          <w:bCs/>
          <w:color w:val="auto"/>
          <w:szCs w:val="21"/>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2.12</w:t>
      </w:r>
      <w:r>
        <w:rPr>
          <w:rFonts w:ascii="Times New Roman" w:hAnsi="Times New Roman" w:eastAsia="宋体" w:cs="Times New Roman"/>
          <w:color w:val="auto"/>
          <w:sz w:val="21"/>
          <w:szCs w:val="21"/>
          <w:highlight w:val="none"/>
        </w:rPr>
        <w:t xml:space="preserve">输液控制设备及AI输液识别系统</w:t>
      </w:r>
      <w:r/>
    </w:p>
    <w:tbl>
      <w:tblPr>
        <w:tblStyle w:val="717"/>
        <w:tblW w:w="8360"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883"/>
        <w:gridCol w:w="1200"/>
        <w:gridCol w:w="5619"/>
      </w:tblGrid>
      <w:tr>
        <w:trPr/>
        <w:tc>
          <w:tcPr>
            <w:tcW w:w="658"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19"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3"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输液控制设备</w:t>
            </w:r>
            <w:r/>
          </w:p>
        </w:tc>
        <w:tc>
          <w:tcPr>
            <w:tcW w:w="120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内部电池续航时长</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正常工作模式下≥480小时。</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适用场景</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1.适用于普通药液的输液。</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2.适用于避光型药液的输液。</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3</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输液控制</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▲设备能够控制输液速度</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设备能够识别输液状态，且状态识别功能≥6种，</w:t>
            </w:r>
            <w:r>
              <w:rPr>
                <w:rFonts w:ascii="Times New Roman" w:hAnsi="Times New Roman"/>
                <w:b/>
                <w:bCs/>
                <w:color w:val="auto"/>
                <w:szCs w:val="21"/>
                <w:highlight w:val="none"/>
              </w:rPr>
              <w:t xml:space="preserve">（需</w:t>
            </w:r>
            <w:r>
              <w:rPr>
                <w:rFonts w:hint="eastAsia" w:ascii="Times New Roman" w:hAnsi="Times New Roman"/>
                <w:b/>
                <w:bCs/>
                <w:color w:val="auto"/>
                <w:szCs w:val="21"/>
                <w:highlight w:val="none"/>
              </w:rPr>
              <w:t xml:space="preserve">提供包括但不限于技术白皮书或者</w:t>
            </w:r>
            <w:r>
              <w:rPr>
                <w:rFonts w:ascii="Times New Roman" w:hAnsi="Times New Roman"/>
                <w:b/>
                <w:bCs/>
                <w:color w:val="auto"/>
                <w:szCs w:val="21"/>
                <w:highlight w:val="none"/>
              </w:rPr>
              <w:t xml:space="preserve">带有CMA</w:t>
            </w:r>
            <w:r>
              <w:rPr>
                <w:rFonts w:hint="eastAsia" w:ascii="Times New Roman" w:hAnsi="Times New Roman"/>
                <w:b/>
                <w:bCs/>
                <w:color w:val="auto"/>
                <w:szCs w:val="21"/>
                <w:highlight w:val="none"/>
              </w:rPr>
              <w:t xml:space="preserve">标识的第三方检测机构出具的检验报告或其他有效证明材料，上传系统</w:t>
            </w:r>
            <w:r>
              <w:rPr>
                <w:rFonts w:ascii="Times New Roman" w:hAnsi="Times New Roman"/>
                <w:b/>
                <w:bCs/>
                <w:color w:val="auto"/>
                <w:szCs w:val="21"/>
                <w:highlight w:val="none"/>
              </w:rPr>
              <w:t xml:space="preserve">）</w:t>
            </w:r>
            <w:r>
              <w:rPr>
                <w:rFonts w:ascii="Times New Roman" w:hAnsi="Times New Roman"/>
                <w:color w:val="auto"/>
                <w:szCs w:val="21"/>
                <w:highlight w:val="none"/>
              </w:rPr>
              <w:t xml:space="preserve">输液状态需包含但不限于输液完成状态、输液堵塞状态、输液速度过快状态、输液速度过慢状态、空气报警状态、低电量报警状态</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支持在输液完成时自动锁死输液管路并发出声光报警</w:t>
            </w:r>
            <w:r>
              <w:rPr>
                <w:rFonts w:hint="eastAsia" w:ascii="Times New Roman" w:hAnsi="Times New Roman"/>
                <w:color w:val="auto"/>
                <w:szCs w:val="21"/>
                <w:highlight w:val="none"/>
              </w:rPr>
              <w:t xml:space="preserve">；</w:t>
            </w:r>
            <w:r>
              <w:rPr>
                <w:rFonts w:ascii="Times New Roman" w:hAnsi="Times New Roman"/>
                <w:color w:val="auto"/>
                <w:szCs w:val="21"/>
                <w:highlight w:val="none"/>
              </w:rPr>
              <w:t xml:space="preserve">支持在输液管路进入空气时报出声光报警。</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4</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一键复位</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可在输液完成状态、输液堵塞状态、输液速度过快状态、输液速度过慢状态、空气报警状态时启用一键复位。</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5</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输液完成状态</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准确识别出输液完成状态。</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6</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输液堵塞状态</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1.准确识别出输液堵塞状态。</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2.支持在输液堵塞时发出声光报警。</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输液速度异常状态</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1.准确识别出输液速度过快状态并发出声光报警。</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2.准确识别出输液速度过慢状态并发出声光报警。</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空气报警状态</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在输液过程中，能够有效的检测出输液管路中的空气，防止空气输入人体。</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设备状态报警</w:t>
            </w:r>
            <w:r/>
          </w:p>
        </w:tc>
        <w:tc>
          <w:tcPr>
            <w:tcW w:w="5619" w:type="dxa"/>
            <w:vAlign w:val="center"/>
            <w:textDirection w:val="lrTb"/>
            <w:noWrap w:val="false"/>
          </w:tcPr>
          <w:p>
            <w:pPr>
              <w:jc w:val="left"/>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支持在电池低电压时发出声光报警。</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jc w:val="left"/>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支持在滴壶移开时发出声光报警。</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jc w:val="left"/>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支持在设备故障时发出声光报警。</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rPr>
                <w:rFonts w:hint="eastAsia" w:ascii="Times New Roman" w:hAnsi="Times New Roman"/>
                <w:color w:val="auto"/>
                <w:szCs w:val="21"/>
                <w:highlight w:val="none"/>
              </w:rPr>
              <w:t xml:space="preserve">1</w:t>
            </w:r>
            <w:r/>
          </w:p>
        </w:tc>
        <w:tc>
          <w:tcPr>
            <w:tcW w:w="883"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智能输液管理软件</w:t>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智能提醒</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1.支持对不同的输液状态进行图像提醒及语音播报提醒。</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2.支持将输液完成及输液异常的床位自动顶置。</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pStyle w:val="696"/>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▲3.输液控制设备探测到输液管路中有空气时，系统发出声音及图像提醒。</w:t>
            </w:r>
            <w:r>
              <w:rPr>
                <w:rFonts w:hint="eastAsia" w:ascii="Times New Roman" w:hAnsi="Times New Roman"/>
                <w:b/>
                <w:color w:val="auto"/>
                <w:szCs w:val="21"/>
                <w:highlight w:val="none"/>
              </w:rPr>
              <w:t xml:space="preserve">（</w:t>
            </w:r>
            <w:r>
              <w:rPr>
                <w:rFonts w:ascii="Times New Roman" w:hAnsi="Times New Roman"/>
                <w:b/>
                <w:color w:val="auto"/>
                <w:szCs w:val="21"/>
                <w:highlight w:val="none"/>
              </w:rPr>
              <w:t xml:space="preserve">提供软件界面截图</w:t>
            </w:r>
            <w:r>
              <w:rPr>
                <w:rFonts w:hint="eastAsia" w:ascii="Times New Roman" w:hAnsi="Times New Roman"/>
                <w:b/>
                <w:color w:val="auto"/>
                <w:szCs w:val="21"/>
                <w:highlight w:val="none"/>
              </w:rPr>
              <w:t xml:space="preserve">，系统上传</w:t>
            </w:r>
            <w:r>
              <w:rPr>
                <w:rFonts w:ascii="Times New Roman" w:hAnsi="Times New Roman"/>
                <w:b/>
                <w:color w:val="auto"/>
                <w:szCs w:val="21"/>
                <w:highlight w:val="none"/>
              </w:rPr>
              <w:t xml:space="preserve">）</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4.输液控制设备探测到当前输液堵塞、输液持续过快/过慢、输液完成时，系统发出声音及图像提醒。</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5.输液控制设备当前电量过低时，系统发出声音及图像提醒。</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6.输液控制设备探测到输液由异常状态恢复正常时，提醒图像恢复正常。</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7.支持自由设置堵塞报警延迟时间，延迟时间内恢复正常输液时不报警，未恢复时报警。</w:t>
            </w:r>
            <w:r/>
          </w:p>
        </w:tc>
      </w:tr>
      <w:tr>
        <w:trPr/>
        <w:tc>
          <w:tcPr>
            <w:tcW w:w="658" w:type="dxa"/>
            <w:vAlign w:val="center"/>
            <w:vMerge w:val="restart"/>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rPr>
                <w:rFonts w:hint="eastAsia" w:ascii="Times New Roman" w:hAnsi="Times New Roman"/>
                <w:color w:val="auto"/>
                <w:szCs w:val="21"/>
                <w:highlight w:val="none"/>
              </w:rPr>
              <w:t xml:space="preserve">2</w:t>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病区输液信息统计与分析</w:t>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1.支持根据时间范围查询当前病区的输液情况，包含每台设备的使用次数，输液时长，输液总容量，开始输液时间，结束时间等。</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2.支持显示每台设备每次使用的滴速趋势图，以不同颜色区分正常输液以及输液异常。</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3.支持根据时间范围分析所选时间段的输液情况，以饼状图或柱状图显示当前病区各滴速区间的分布状况，输液总容量区间的分布状况，输液时长区间的分布状况，输液异常的分布状况。</w:t>
            </w:r>
            <w:r/>
          </w:p>
        </w:tc>
      </w:tr>
      <w:tr>
        <w:trPr/>
        <w:tc>
          <w:tcPr>
            <w:tcW w:w="658" w:type="dxa"/>
            <w:vAlign w:val="center"/>
            <w:vMerge w:val="continue"/>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883"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0" w:type="dxa"/>
            <w:vAlign w:val="center"/>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5619" w:type="dxa"/>
            <w:vAlign w:val="center"/>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4.可查看当前在线设备的信号强度，状态，床位号以及MAC地址。</w:t>
            </w:r>
            <w:r/>
          </w:p>
        </w:tc>
      </w:tr>
      <w:tr>
        <w:trPr/>
        <w:tc>
          <w:tcPr>
            <w:tcW w:w="658"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rPr>
                <w:rFonts w:hint="eastAsia" w:ascii="Times New Roman" w:hAnsi="Times New Roman"/>
                <w:color w:val="auto"/>
                <w:szCs w:val="21"/>
                <w:highlight w:val="none"/>
              </w:rPr>
              <w:t xml:space="preserve">3</w:t>
            </w:r>
            <w:r/>
          </w:p>
        </w:tc>
        <w:tc>
          <w:tcPr>
            <w:tcW w:w="883"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AI输液识别系统</w:t>
            </w:r>
            <w:r/>
          </w:p>
        </w:tc>
        <w:tc>
          <w:tcPr>
            <w:tcW w:w="1200"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软件功能</w:t>
            </w:r>
            <w:r/>
          </w:p>
        </w:tc>
        <w:tc>
          <w:tcPr>
            <w:tcW w:w="5619" w:type="dxa"/>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1、可直接通过床头分机设备中的摄像头进行输液画面捕捉。</w:t>
            </w:r>
            <w:r>
              <w:rPr>
                <w:rFonts w:hint="eastAsia" w:ascii="Times New Roman" w:hAnsi="Times New Roman"/>
                <w:color w:val="auto"/>
                <w:szCs w:val="21"/>
                <w:highlight w:val="none"/>
              </w:rPr>
              <w:t xml:space="preserve">或</w:t>
            </w:r>
            <w:r>
              <w:rPr>
                <w:rFonts w:ascii="Times New Roman" w:hAnsi="Times New Roman"/>
                <w:color w:val="auto"/>
                <w:szCs w:val="21"/>
                <w:highlight w:val="none"/>
              </w:rPr>
              <w:t xml:space="preserve">支持图像采集扩展，对接外部第三方摄像头画面捕捉信息进行识别计算；</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2</w:t>
            </w:r>
            <w:r>
              <w:rPr>
                <w:rFonts w:ascii="Times New Roman" w:hAnsi="Times New Roman"/>
                <w:color w:val="auto"/>
                <w:szCs w:val="21"/>
                <w:highlight w:val="none"/>
              </w:rPr>
              <w:t xml:space="preserve">、支持联动护士扫码，通过患者信息的联动，可唤起该患者床头分机开启摄像头的提示；</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3</w:t>
            </w:r>
            <w:r>
              <w:rPr>
                <w:rFonts w:ascii="Times New Roman" w:hAnsi="Times New Roman"/>
                <w:color w:val="auto"/>
                <w:szCs w:val="21"/>
                <w:highlight w:val="none"/>
              </w:rPr>
              <w:t xml:space="preserve">、可识别输液中/输液完成/输液异常等状态，同时对药液余量百分比进行计算，可通过后台配置对异常/低阈值等状态进行告警推送配置，联动护士站主机/护理看板进行告警，同步发送异常画面以辅助人工判断；</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4</w:t>
            </w:r>
            <w:r>
              <w:rPr>
                <w:rFonts w:ascii="Times New Roman" w:hAnsi="Times New Roman"/>
                <w:color w:val="auto"/>
                <w:szCs w:val="21"/>
                <w:highlight w:val="none"/>
              </w:rPr>
              <w:t xml:space="preserve">、支持阅后即删除，仅保留算法判断的状态画面以供决策，保障患者隐私；</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5</w:t>
            </w:r>
            <w:r>
              <w:rPr>
                <w:rFonts w:ascii="Times New Roman" w:hAnsi="Times New Roman"/>
                <w:color w:val="auto"/>
                <w:szCs w:val="21"/>
                <w:highlight w:val="none"/>
              </w:rPr>
              <w:t xml:space="preserve">、当多药液进行排队输液时或进行换药操作时，支持自主识别正在输液中的药液袋/瓶；</w:t>
            </w:r>
            <w:r/>
          </w:p>
          <w:p>
            <w:pP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6</w:t>
            </w:r>
            <w:r>
              <w:rPr>
                <w:rFonts w:ascii="Times New Roman" w:hAnsi="Times New Roman"/>
                <w:color w:val="auto"/>
                <w:szCs w:val="21"/>
                <w:highlight w:val="none"/>
              </w:rPr>
              <w:t xml:space="preserve">、支持配置画面获取间隔时间；</w:t>
            </w:r>
            <w:r/>
          </w:p>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w:t>
            </w:r>
            <w:r>
              <w:rPr>
                <w:rFonts w:ascii="Times New Roman" w:hAnsi="Times New Roman"/>
                <w:color w:val="auto"/>
                <w:szCs w:val="21"/>
                <w:highlight w:val="none"/>
              </w:rPr>
              <w:t xml:space="preserve">、支持手动关闭监控画面（可配置）。</w:t>
            </w:r>
            <w:r/>
          </w:p>
        </w:tc>
      </w:tr>
    </w:tbl>
    <w:p>
      <w:pPr>
        <w:rPr>
          <w:rFonts w:ascii="Times New Roman" w:hAnsi="Times New Roman"/>
          <w:color w:val="auto"/>
          <w:szCs w:val="21"/>
          <w:highlight w:val="none"/>
        </w:rPr>
      </w:pPr>
      <w:r>
        <w:rPr>
          <w:rFonts w:ascii="Times New Roman" w:hAnsi="Times New Roman"/>
          <w:color w:val="auto"/>
          <w:szCs w:val="21"/>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2.13示范病房智能输液</w:t>
      </w:r>
      <w:r>
        <w:rPr>
          <w:rFonts w:ascii="Times New Roman" w:hAnsi="Times New Roman" w:eastAsia="宋体" w:cs="Times New Roman"/>
          <w:color w:val="auto"/>
          <w:sz w:val="21"/>
          <w:szCs w:val="21"/>
          <w:highlight w:val="none"/>
        </w:rPr>
        <w:t xml:space="preserve">物联网网关</w:t>
      </w:r>
      <w:r/>
    </w:p>
    <w:tbl>
      <w:tblPr>
        <w:tblStyle w:val="717"/>
        <w:tblW w:w="8373"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888"/>
        <w:gridCol w:w="1208"/>
        <w:gridCol w:w="5606"/>
      </w:tblGrid>
      <w:tr>
        <w:trPr/>
        <w:tc>
          <w:tcPr>
            <w:tcW w:w="671"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06"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671"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8"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物联网网关</w:t>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传输距离</w:t>
            </w:r>
            <w:r/>
          </w:p>
        </w:tc>
        <w:tc>
          <w:tcPr>
            <w:tcW w:w="5606" w:type="dxa"/>
            <w:textDirection w:val="lrTb"/>
            <w:noWrap w:val="false"/>
          </w:tcPr>
          <w:p>
            <w:pPr>
              <w:spacing w:line="360" w:lineRule="auto"/>
              <w:rPr>
                <w:rFonts w:ascii="Times New Roman" w:hAnsi="Times New Roman"/>
                <w:bCs/>
                <w:color w:val="auto"/>
                <w:szCs w:val="21"/>
                <w:highlight w:val="none"/>
              </w:rPr>
            </w:pPr>
            <w:r>
              <w:rPr>
                <w:rFonts w:ascii="Times New Roman" w:hAnsi="Times New Roman"/>
                <w:color w:val="auto"/>
                <w:szCs w:val="21"/>
                <w:highlight w:val="none"/>
              </w:rPr>
              <w:t xml:space="preserve">室内有效传输距离≥100m。</w:t>
            </w:r>
            <w:r/>
          </w:p>
        </w:tc>
      </w:tr>
      <w:tr>
        <w:trPr/>
        <w:tc>
          <w:tcPr>
            <w:tcW w:w="671"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8"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信息处理</w:t>
            </w:r>
            <w:r/>
          </w:p>
        </w:tc>
        <w:tc>
          <w:tcPr>
            <w:tcW w:w="5606"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支持接收和转发输液信息。</w:t>
            </w:r>
            <w:r/>
          </w:p>
        </w:tc>
      </w:tr>
      <w:tr>
        <w:trPr/>
        <w:tc>
          <w:tcPr>
            <w:tcW w:w="671"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888"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传输要求</w:t>
            </w:r>
            <w:r/>
          </w:p>
        </w:tc>
        <w:tc>
          <w:tcPr>
            <w:tcW w:w="5606" w:type="dxa"/>
            <w:textDirection w:val="lrTb"/>
            <w:noWrap w:val="false"/>
          </w:tcPr>
          <w:p>
            <w:pPr>
              <w:spacing w:line="360" w:lineRule="auto"/>
              <w:rPr>
                <w:rFonts w:ascii="Times New Roman" w:hAnsi="Times New Roman"/>
                <w:b/>
                <w:color w:val="auto"/>
                <w:szCs w:val="21"/>
                <w:highlight w:val="none"/>
              </w:rPr>
            </w:pPr>
            <w:r>
              <w:rPr>
                <w:rFonts w:hint="eastAsia" w:ascii="宋体" w:hAnsi="宋体" w:cs="宋体"/>
                <w:i/>
                <w:iCs/>
                <w:color w:val="auto"/>
                <w:spacing w:val="1"/>
                <w:szCs w:val="21"/>
                <w:highlight w:val="none"/>
                <w:u w:val="single"/>
              </w:rPr>
              <w:t xml:space="preserve">★</w:t>
            </w:r>
            <w:r>
              <w:rPr>
                <w:rFonts w:ascii="Times New Roman" w:hAnsi="Times New Roman"/>
                <w:i/>
                <w:iCs/>
                <w:color w:val="auto"/>
                <w:szCs w:val="21"/>
                <w:highlight w:val="none"/>
                <w:u w:val="single"/>
              </w:rPr>
              <w:t xml:space="preserve">符合无线网络安全要求，无线网络发射设备具有无线电发射设备型号核准证。</w:t>
            </w:r>
            <w:r>
              <w:rPr>
                <w:rFonts w:ascii="Times New Roman" w:hAnsi="Times New Roman"/>
                <w:b/>
                <w:bCs/>
                <w:i/>
                <w:iCs/>
                <w:color w:val="auto"/>
                <w:szCs w:val="21"/>
                <w:highlight w:val="none"/>
                <w:u w:val="single"/>
              </w:rPr>
              <w:t xml:space="preserve">（提供工业和信息化部无线电管理局核发的《无线电发射设备型号核准证》</w:t>
            </w:r>
            <w:r>
              <w:rPr>
                <w:rFonts w:hint="eastAsia" w:ascii="Times New Roman" w:hAnsi="Times New Roman"/>
                <w:b/>
                <w:bCs/>
                <w:i/>
                <w:iCs/>
                <w:color w:val="auto"/>
                <w:szCs w:val="21"/>
                <w:highlight w:val="none"/>
                <w:u w:val="single"/>
              </w:rPr>
              <w:t xml:space="preserve">，上传系统</w:t>
            </w:r>
            <w:r>
              <w:rPr>
                <w:rFonts w:ascii="Times New Roman" w:hAnsi="Times New Roman"/>
                <w:b/>
                <w:bCs/>
                <w:i/>
                <w:iCs/>
                <w:color w:val="auto"/>
                <w:szCs w:val="21"/>
                <w:highlight w:val="none"/>
                <w:u w:val="single"/>
              </w:rPr>
              <w:t xml:space="preserve">）</w:t>
            </w:r>
            <w:r/>
          </w:p>
        </w:tc>
      </w:tr>
    </w:tbl>
    <w:p>
      <w:pPr>
        <w:rPr>
          <w:color w:val="auto"/>
          <w:highlight w:val="none"/>
        </w:rPr>
      </w:pPr>
      <w:r>
        <w:rPr>
          <w:color w:val="auto"/>
          <w:highlight w:val="none"/>
        </w:rPr>
      </w:r>
      <w:r/>
    </w:p>
    <w:p>
      <w:pPr>
        <w:pStyle w:val="681"/>
        <w:numPr>
          <w:ilvl w:val="1"/>
          <w:numId w:val="0"/>
        </w:numP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 xml:space="preserve">1.</w:t>
      </w:r>
      <w:r>
        <w:rPr>
          <w:rFonts w:hint="eastAsia" w:ascii="Times New Roman" w:hAnsi="Times New Roman" w:eastAsia="宋体" w:cs="Times New Roman"/>
          <w:color w:val="auto"/>
          <w:sz w:val="21"/>
          <w:szCs w:val="21"/>
          <w:highlight w:val="none"/>
        </w:rPr>
        <w:t xml:space="preserve">2.14</w:t>
      </w:r>
      <w:r>
        <w:rPr>
          <w:rFonts w:ascii="Times New Roman" w:hAnsi="Times New Roman" w:eastAsia="宋体" w:cs="Times New Roman"/>
          <w:color w:val="auto"/>
          <w:sz w:val="21"/>
          <w:szCs w:val="21"/>
          <w:highlight w:val="none"/>
        </w:rPr>
        <w:t xml:space="preserve">施工辅材</w:t>
      </w:r>
      <w:r/>
    </w:p>
    <w:tbl>
      <w:tblPr>
        <w:tblStyle w:val="717"/>
        <w:tblW w:w="8361" w:type="dxa"/>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9"/>
        <w:gridCol w:w="887"/>
        <w:gridCol w:w="1208"/>
        <w:gridCol w:w="5607"/>
      </w:tblGrid>
      <w:tr>
        <w:trPr/>
        <w:tc>
          <w:tcPr>
            <w:tcW w:w="659" w:type="dxa"/>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序号</w:t>
            </w:r>
            <w:r/>
          </w:p>
        </w:tc>
        <w:tc>
          <w:tcPr>
            <w:tcW w:w="88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产品</w:t>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功能要求</w:t>
            </w:r>
            <w:r/>
          </w:p>
        </w:tc>
      </w:tr>
      <w:tr>
        <w:trPr/>
        <w:tc>
          <w:tcPr>
            <w:tcW w:w="659"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887" w:type="dxa"/>
            <w:vMerge w:val="restart"/>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施工辅材</w:t>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施工</w:t>
            </w:r>
            <w:r/>
          </w:p>
        </w:tc>
        <w:tc>
          <w:tcPr>
            <w:tcW w:w="5607"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1、系统施工要求需确保线路清晰布局，设备精准安装，并通过严格测试验证系统稳定性与通讯质量。</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2、精确规划线路布局，确保信号传输无阻。</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3、严格遵循安装规范进行部署。</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4、系统</w:t>
            </w:r>
            <w:r>
              <w:rPr>
                <w:rFonts w:hint="eastAsia" w:ascii="Times New Roman" w:hAnsi="Times New Roman"/>
                <w:color w:val="auto"/>
                <w:szCs w:val="21"/>
                <w:highlight w:val="none"/>
              </w:rPr>
              <w:t xml:space="preserve">实施</w:t>
            </w:r>
            <w:r>
              <w:rPr>
                <w:rFonts w:ascii="Times New Roman" w:hAnsi="Times New Roman"/>
                <w:color w:val="auto"/>
                <w:szCs w:val="21"/>
                <w:highlight w:val="none"/>
              </w:rPr>
              <w:t xml:space="preserve">时需确保各组件兼容，操作流畅。</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5、完成安装后进行全面测试，验证系统稳定性与功能完整性。</w:t>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6、提供详尽的维护手册与培训，保障后续运营顺畅。</w:t>
            </w:r>
            <w:r/>
          </w:p>
        </w:tc>
      </w:tr>
      <w:tr>
        <w:trPr/>
        <w:tc>
          <w:tcPr>
            <w:tcW w:w="659" w:type="dxa"/>
            <w:vAlign w:val="center"/>
            <w:textDirection w:val="lrTb"/>
            <w:noWrap w:val="false"/>
          </w:tcPr>
          <w:p>
            <w:pPr>
              <w:jc w:val="cente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887" w:type="dxa"/>
            <w:vMerge w:val="continue"/>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tc>
        <w:tc>
          <w:tcPr>
            <w:tcW w:w="1208" w:type="dxa"/>
            <w:textDirection w:val="lrTb"/>
            <w:noWrap w:val="false"/>
          </w:tcPr>
          <w:p>
            <w:pPr>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辅材</w:t>
            </w:r>
            <w:r/>
          </w:p>
        </w:tc>
        <w:tc>
          <w:tcPr>
            <w:tcW w:w="5607" w:type="dxa"/>
            <w:textDirection w:val="lrTb"/>
            <w:noWrap w:val="false"/>
          </w:tcPr>
          <w:p>
            <w:pPr>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施工辅材（含交换机、施工、辅材等，需满足系统设备的使用需求）</w:t>
            </w:r>
            <w:r/>
          </w:p>
        </w:tc>
      </w:tr>
    </w:tbl>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bookmarkStart w:id="62" w:name="_Toc55204181"/>
      <w:r/>
      <w:bookmarkStart w:id="63" w:name="_Toc29995"/>
      <w:r>
        <w:rPr>
          <w:rFonts w:hint="eastAsia" w:ascii="宋体" w:hAnsi="宋体" w:cstheme="minorEastAsia"/>
          <w:b/>
          <w:bCs/>
          <w:color w:val="auto"/>
          <w:szCs w:val="21"/>
          <w:highlight w:val="none"/>
          <w:lang w:bidi="ar"/>
        </w:rPr>
        <w:t xml:space="preserve">注：招标文件中标注“</w:t>
      </w:r>
      <w:r>
        <w:rPr>
          <w:rFonts w:hint="eastAsia" w:ascii="Times New Roman" w:hAnsi="Times New Roman"/>
          <w:bCs/>
          <w:i w:val="0"/>
          <w:iCs w:val="0"/>
          <w:color w:val="auto"/>
          <w:szCs w:val="21"/>
          <w:highlight w:val="none"/>
        </w:rPr>
        <w:t xml:space="preserve">★</w:t>
      </w:r>
      <w:r>
        <w:rPr>
          <w:rFonts w:hint="eastAsia" w:ascii="宋体" w:hAnsi="宋体" w:cstheme="minorEastAsia"/>
          <w:b/>
          <w:bCs/>
          <w:color w:val="auto"/>
          <w:szCs w:val="21"/>
          <w:highlight w:val="none"/>
          <w:lang w:bidi="ar"/>
        </w:rPr>
        <w:t xml:space="preserve">”的参数内容为实质性要求，有一项不符合的，作无效投标处理。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三、演示部分：</w:t>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w:t>
      </w:r>
      <w:r>
        <w:rPr>
          <w:rFonts w:ascii="Times New Roman" w:hAnsi="Times New Roman"/>
          <w:b/>
          <w:bCs/>
          <w:color w:val="auto"/>
          <w:szCs w:val="21"/>
          <w:highlight w:val="none"/>
        </w:rPr>
        <w:t xml:space="preserve">医护主机</w:t>
      </w:r>
      <w:r/>
    </w:p>
    <w:tbl>
      <w:tblPr>
        <w:tblStyle w:val="717"/>
        <w:tblW w:w="85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5"/>
        <w:gridCol w:w="1409"/>
        <w:gridCol w:w="6091"/>
      </w:tblGrid>
      <w:tr>
        <w:trPr/>
        <w:tc>
          <w:tcPr>
            <w:tcW w:w="1025" w:type="dxa"/>
            <w:vAlign w:val="center"/>
            <w:vMerge w:val="restart"/>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医护主机</w:t>
            </w:r>
            <w:r/>
          </w:p>
        </w:tc>
        <w:tc>
          <w:tcPr>
            <w:tcW w:w="1409" w:type="dxa"/>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w:t>
            </w:r>
            <w:r/>
          </w:p>
        </w:tc>
        <w:tc>
          <w:tcPr>
            <w:tcW w:w="6091" w:type="dxa"/>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功能要求</w:t>
            </w:r>
            <w:r/>
          </w:p>
        </w:tc>
      </w:tr>
      <w:tr>
        <w:trPr/>
        <w:tc>
          <w:tcPr>
            <w:tcW w:w="1025" w:type="dxa"/>
            <w:vMerge w:val="continue"/>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院感要求</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考虑医院场景下院感要求，主机正面纯平面设计无物理按键，方便医院消毒清洁；主机内置一体化护理指示灯，两侧布局条状指示灯便于进行声光提示；通话手柄采用电磁感应设计，无外漏麦克风，无传统话机机械装置。</w:t>
            </w:r>
            <w:r/>
          </w:p>
        </w:tc>
      </w:tr>
      <w:tr>
        <w:trPr/>
        <w:tc>
          <w:tcPr>
            <w:tcW w:w="1025" w:type="dxa"/>
            <w:vMerge w:val="continue"/>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多路通话保持</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w:t>
            </w:r>
            <w:r/>
          </w:p>
        </w:tc>
      </w:tr>
      <w:tr>
        <w:trPr/>
        <w:tc>
          <w:tcPr>
            <w:tcW w:w="1025" w:type="dxa"/>
            <w:vMerge w:val="continue"/>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通话保持功能</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在WEB页面端，以科室单元进行配置，配置通话保持数量应≥5路分机；不少于5个床头分机依次发起呼叫，在护士站主机端可依次接听，且在接通1路通话的同时保持其余4路，并依次恢复通话；</w:t>
            </w:r>
            <w:r/>
          </w:p>
        </w:tc>
      </w:tr>
      <w:tr>
        <w:trPr/>
        <w:tc>
          <w:tcPr>
            <w:tcW w:w="1025" w:type="dxa"/>
            <w:vMerge w:val="continue"/>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音视频互换</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床头分机与护士站主机在进行语音/视频通话时，两端都能主动进行语音和视频之间转换，且不中断当前通话；</w:t>
            </w:r>
            <w:r/>
          </w:p>
        </w:tc>
      </w:tr>
      <w:tr>
        <w:trPr/>
        <w:tc>
          <w:tcPr>
            <w:tcW w:w="1025" w:type="dxa"/>
            <w:vMerge w:val="continue"/>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隐私通话</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护士站主机视频通话时可控制是否对方看到本机画面隐私通话，隐私通话开启后床头分机无法看到护士站主机画面；同时也支持在通话过程中关闭隐私通话；</w:t>
            </w:r>
            <w:r/>
          </w:p>
        </w:tc>
      </w:tr>
      <w:tr>
        <w:trPr/>
        <w:tc>
          <w:tcPr>
            <w:tcW w:w="1025" w:type="dxa"/>
            <w:vMerge w:val="continue"/>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通话优先级</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支持床头分机、卫生间分机与护士站主机通话时，通话优先级打断(根据预先设置的优先级),高等级通话可以打断低等级通话；</w:t>
            </w:r>
            <w:r/>
          </w:p>
        </w:tc>
      </w:tr>
      <w:tr>
        <w:trPr/>
        <w:tc>
          <w:tcPr>
            <w:tcW w:w="1025" w:type="dxa"/>
            <w:vMerge w:val="continue"/>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9"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AI语音转文字功能</w:t>
            </w:r>
            <w:r/>
          </w:p>
        </w:tc>
        <w:tc>
          <w:tcPr>
            <w:tcW w:w="6091"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护士站主机与床头分机通话时，护士站主机可实时将患者通话语音内容通过文字方式进行展示。</w:t>
            </w:r>
            <w:r/>
          </w:p>
        </w:tc>
      </w:tr>
    </w:tbl>
    <w:p>
      <w:pPr>
        <w:pStyle w:val="766"/>
        <w:rPr>
          <w:color w:val="auto"/>
          <w:highlight w:val="none"/>
        </w:rPr>
      </w:pPr>
      <w:r>
        <w:rPr>
          <w:color w:val="auto"/>
          <w:highlight w:val="none"/>
        </w:rPr>
      </w:r>
      <w:r/>
    </w:p>
    <w:p>
      <w:pPr>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2、ICU床头分机</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1407"/>
        <w:gridCol w:w="6077"/>
      </w:tblGrid>
      <w:tr>
        <w:trPr/>
        <w:tc>
          <w:tcPr>
            <w:tcW w:w="1038" w:type="dxa"/>
            <w:vAlign w:val="center"/>
            <w:vMerge w:val="restart"/>
            <w:textDirection w:val="lrTb"/>
            <w:noWrap w:val="false"/>
          </w:tcPr>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ICU床头分机</w:t>
            </w:r>
            <w:r/>
          </w:p>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w:t>
            </w:r>
            <w:r/>
          </w:p>
        </w:tc>
        <w:tc>
          <w:tcPr>
            <w:tcW w:w="6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功能要求</w:t>
            </w:r>
            <w:r/>
          </w:p>
        </w:tc>
      </w:tr>
      <w:tr>
        <w:trPr/>
        <w:tc>
          <w:tcPr>
            <w:tcW w:w="1038" w:type="dxa"/>
            <w:vMerge w:val="continue"/>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院感要求</w:t>
            </w:r>
            <w:r/>
          </w:p>
        </w:tc>
        <w:tc>
          <w:tcPr>
            <w:tcW w:w="6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分机采用全触屏设计，正面无任何物理按键，以符合院感要求，分机侧方或下方出音，以防灰尘异物等进入喇叭，也便于设备的消毒清洁；多功能呼叫手柄具备物理呼叫按键、物理换药按键、物理取消按键、具备LED灯、物理熄屏按键。</w:t>
            </w:r>
            <w:r/>
          </w:p>
        </w:tc>
      </w:tr>
      <w:tr>
        <w:trPr/>
        <w:tc>
          <w:tcPr>
            <w:tcW w:w="1038" w:type="dxa"/>
            <w:vMerge w:val="continue"/>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功能加密</w:t>
            </w:r>
            <w:r/>
          </w:p>
        </w:tc>
        <w:tc>
          <w:tcPr>
            <w:tcW w:w="6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床头分机功能支持自定义的功能模块加密（如检查报告、医嘱等信息）；科室可按实际情况进行加密功能的自主管理。</w:t>
            </w:r>
            <w:r/>
          </w:p>
        </w:tc>
      </w:tr>
      <w:tr>
        <w:trPr/>
        <w:tc>
          <w:tcPr>
            <w:tcW w:w="1038" w:type="dxa"/>
            <w:vMerge w:val="continue"/>
            <w:textDirection w:val="lrTb"/>
            <w:noWrap w:val="false"/>
          </w:tcPr>
          <w:p>
            <w:pPr>
              <w:pStyle w:val="76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0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红外感应</w:t>
            </w:r>
            <w:r/>
          </w:p>
        </w:tc>
        <w:tc>
          <w:tcPr>
            <w:tcW w:w="6077" w:type="dxa"/>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在床头分机前，屏幕可通过红外感应亮起，以供护士查看内容；红外模组可识别患者离开后，自动息屏；</w:t>
            </w:r>
            <w:r/>
          </w:p>
        </w:tc>
      </w:tr>
    </w:tbl>
    <w:p>
      <w:pPr>
        <w:pStyle w:val="766"/>
        <w:rPr>
          <w:color w:val="auto"/>
          <w:highlight w:val="none"/>
        </w:rPr>
      </w:pPr>
      <w:r>
        <w:rPr>
          <w:color w:val="auto"/>
          <w:highlight w:val="none"/>
        </w:rPr>
      </w:r>
      <w:r/>
    </w:p>
    <w:p>
      <w:pPr>
        <w:numPr>
          <w:ilvl w:val="0"/>
          <w:numId w:val="7"/>
        </w:numPr>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t xml:space="preserve">门口分机</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8"/>
        <w:gridCol w:w="1396"/>
        <w:gridCol w:w="6088"/>
      </w:tblGrid>
      <w:tr>
        <w:trPr/>
        <w:tc>
          <w:tcPr>
            <w:tcW w:w="1038" w:type="dxa"/>
            <w:vAlign w:val="center"/>
            <w:vMerge w:val="restart"/>
            <w:textDirection w:val="lrTb"/>
            <w:noWrap w:val="false"/>
          </w:tcPr>
          <w:p>
            <w:pPr>
              <w:jc w:val="left"/>
              <w:spacing w:line="360" w:lineRule="auto"/>
              <w:rPr>
                <w:rFonts w:ascii="Times New Roman" w:hAnsi="Times New Roman"/>
                <w:color w:val="auto"/>
                <w:szCs w:val="21"/>
                <w:highlight w:val="none"/>
              </w:rPr>
            </w:pPr>
            <w:r>
              <w:rPr>
                <w:rFonts w:ascii="Times New Roman" w:hAnsi="Times New Roman"/>
                <w:color w:val="auto"/>
                <w:szCs w:val="21"/>
                <w:highlight w:val="none"/>
              </w:rPr>
              <w:t xml:space="preserve">门口分机</w:t>
            </w:r>
            <w:r/>
          </w:p>
        </w:tc>
        <w:tc>
          <w:tcPr>
            <w:tcW w:w="1396" w:type="dxa"/>
            <w:textDirection w:val="lrTb"/>
            <w:noWrap w:val="false"/>
          </w:tcPr>
          <w:p>
            <w:pPr>
              <w:spacing w:line="360" w:lineRule="auto"/>
              <w:rPr>
                <w:color w:val="auto"/>
                <w:highlight w:val="none"/>
              </w:rPr>
            </w:pPr>
            <w:r>
              <w:rPr>
                <w:rFonts w:ascii="Times New Roman" w:hAnsi="Times New Roman"/>
                <w:color w:val="auto"/>
                <w:szCs w:val="21"/>
                <w:highlight w:val="none"/>
              </w:rPr>
              <w:t xml:space="preserve">功能</w:t>
            </w:r>
            <w:r/>
          </w:p>
        </w:tc>
        <w:tc>
          <w:tcPr>
            <w:tcW w:w="6088" w:type="dxa"/>
            <w:textDirection w:val="lrTb"/>
            <w:noWrap w:val="false"/>
          </w:tcPr>
          <w:p>
            <w:pPr>
              <w:spacing w:line="360" w:lineRule="auto"/>
              <w:rPr>
                <w:color w:val="auto"/>
                <w:highlight w:val="none"/>
              </w:rPr>
            </w:pPr>
            <w:r>
              <w:rPr>
                <w:rFonts w:ascii="Times New Roman" w:hAnsi="Times New Roman"/>
                <w:color w:val="auto"/>
                <w:szCs w:val="21"/>
                <w:highlight w:val="none"/>
              </w:rPr>
              <w:t xml:space="preserve">功能要求</w:t>
            </w:r>
            <w:r/>
          </w:p>
        </w:tc>
      </w:tr>
      <w:tr>
        <w:trPr/>
        <w:tc>
          <w:tcPr>
            <w:tcW w:w="1038" w:type="dxa"/>
            <w:vMerge w:val="continue"/>
            <w:textDirection w:val="lrTb"/>
            <w:noWrap w:val="false"/>
          </w:tcPr>
          <w:p>
            <w:pPr>
              <w:pStyle w:val="766"/>
              <w:spacing w:line="360" w:lineRule="auto"/>
              <w:rPr>
                <w:color w:val="auto"/>
                <w:highlight w:val="none"/>
              </w:rPr>
            </w:pPr>
            <w:r>
              <w:rPr>
                <w:color w:val="auto"/>
                <w:highlight w:val="none"/>
              </w:rPr>
            </w:r>
            <w:r/>
          </w:p>
        </w:tc>
        <w:tc>
          <w:tcPr>
            <w:tcW w:w="1396" w:type="dxa"/>
            <w:textDirection w:val="lrTb"/>
            <w:noWrap w:val="false"/>
          </w:tcPr>
          <w:p>
            <w:pPr>
              <w:jc w:val="left"/>
              <w:spacing w:line="360" w:lineRule="auto"/>
              <w:rPr>
                <w:color w:val="auto"/>
                <w:highlight w:val="none"/>
              </w:rPr>
            </w:pPr>
            <w:r>
              <w:rPr>
                <w:rFonts w:hint="eastAsia" w:ascii="Times New Roman" w:hAnsi="Times New Roman"/>
                <w:color w:val="auto"/>
                <w:szCs w:val="21"/>
                <w:highlight w:val="none"/>
              </w:rPr>
              <w:t xml:space="preserve">护士定位和灯光提醒</w:t>
            </w:r>
            <w:r/>
          </w:p>
        </w:tc>
        <w:tc>
          <w:tcPr>
            <w:tcW w:w="6088" w:type="dxa"/>
            <w:textDirection w:val="lrTb"/>
            <w:noWrap w:val="false"/>
          </w:tcPr>
          <w:p>
            <w:pPr>
              <w:spacing w:line="360" w:lineRule="auto"/>
              <w:rPr>
                <w:rFonts w:ascii="Times New Roman" w:hAnsi="Times New Roman"/>
                <w:bCs/>
                <w:color w:val="auto"/>
                <w:szCs w:val="21"/>
                <w:highlight w:val="none"/>
              </w:rPr>
            </w:pPr>
            <w:r>
              <w:rPr>
                <w:rFonts w:hint="eastAsia" w:ascii="Times New Roman" w:hAnsi="Times New Roman"/>
                <w:bCs/>
                <w:color w:val="auto"/>
                <w:szCs w:val="21"/>
                <w:highlight w:val="none"/>
              </w:rPr>
              <w:t xml:space="preserve">具有护士定位按键：护士可通过门口机进行护士定位，当该房间无床位呼叫时走廊屏显示护士所在房间，多房间有护士进入时，走廊屏可显示多个护士所在房间；</w:t>
            </w:r>
            <w:r/>
          </w:p>
          <w:p>
            <w:pPr>
              <w:spacing w:line="360" w:lineRule="auto"/>
              <w:rPr>
                <w:color w:val="auto"/>
                <w:highlight w:val="none"/>
              </w:rPr>
            </w:pPr>
            <w:r>
              <w:rPr>
                <w:rFonts w:hint="eastAsia" w:ascii="Times New Roman" w:hAnsi="Times New Roman"/>
                <w:bCs/>
                <w:color w:val="auto"/>
                <w:szCs w:val="21"/>
                <w:highlight w:val="none"/>
              </w:rPr>
              <w:t xml:space="preserve">分机内置一体化门灯，门灯位于分机两侧，便于护士观察，支持不同呼叫级别和呼叫类型的区分颜色（应满足一级护理、二级护理、三级护理、特级护理、紧急报警、增援报警、护士定位等多种报警提示颜色不少于7色），同时进行声音提示。</w:t>
            </w:r>
            <w:r/>
          </w:p>
        </w:tc>
      </w:tr>
    </w:tbl>
    <w:p>
      <w:pPr>
        <w:pStyle w:val="766"/>
        <w:rPr>
          <w:color w:val="auto"/>
          <w:highlight w:val="none"/>
        </w:rPr>
      </w:pPr>
      <w:r>
        <w:rPr>
          <w:color w:val="auto"/>
          <w:highlight w:val="none"/>
        </w:rPr>
      </w:r>
      <w:r/>
    </w:p>
    <w:p>
      <w:pPr>
        <w:spacing w:line="360" w:lineRule="auto"/>
        <w:rPr>
          <w:rFonts w:ascii="Times New Roman" w:hAnsi="Times New Roman"/>
          <w:b/>
          <w:bCs/>
          <w:color w:val="auto"/>
          <w:szCs w:val="21"/>
          <w:highlight w:val="none"/>
        </w:rPr>
      </w:pPr>
      <w:r>
        <w:rPr>
          <w:rFonts w:ascii="Times New Roman" w:hAnsi="Times New Roman"/>
          <w:b/>
          <w:bCs/>
          <w:color w:val="auto"/>
          <w:szCs w:val="21"/>
          <w:highlight w:val="none"/>
        </w:rPr>
      </w:r>
      <w:r/>
    </w:p>
    <w:p>
      <w:pPr>
        <w:spacing w:line="360" w:lineRule="auto"/>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4、</w:t>
      </w:r>
      <w:r>
        <w:rPr>
          <w:rFonts w:ascii="Times New Roman" w:hAnsi="Times New Roman"/>
          <w:b/>
          <w:bCs/>
          <w:color w:val="auto"/>
          <w:szCs w:val="21"/>
          <w:highlight w:val="none"/>
        </w:rPr>
        <w:t xml:space="preserve">AI输液识别系统</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6"/>
        <w:gridCol w:w="1419"/>
        <w:gridCol w:w="6077"/>
      </w:tblGrid>
      <w:tr>
        <w:trPr/>
        <w:tc>
          <w:tcPr>
            <w:tcW w:w="1026" w:type="dxa"/>
            <w:vAlign w:val="center"/>
            <w:vMerge w:val="restart"/>
            <w:textDirection w:val="lrTb"/>
            <w:noWrap w:val="false"/>
          </w:tcPr>
          <w:p>
            <w:pPr>
              <w:pStyle w:val="766"/>
              <w:rPr>
                <w:color w:val="auto"/>
                <w:highlight w:val="none"/>
              </w:rPr>
            </w:pPr>
            <w:r>
              <w:rPr>
                <w:rFonts w:ascii="Times New Roman" w:eastAsia="宋体"/>
                <w:color w:val="auto"/>
                <w:sz w:val="21"/>
                <w:szCs w:val="21"/>
                <w:highlight w:val="none"/>
              </w:rPr>
              <w:t xml:space="preserve">AI输液识别系统</w:t>
            </w:r>
            <w:r/>
          </w:p>
        </w:tc>
        <w:tc>
          <w:tcPr>
            <w:tcW w:w="1419" w:type="dxa"/>
            <w:textDirection w:val="lrTb"/>
            <w:noWrap w:val="false"/>
          </w:tcPr>
          <w:p>
            <w:pPr>
              <w:spacing w:line="360" w:lineRule="auto"/>
              <w:rPr>
                <w:color w:val="auto"/>
                <w:highlight w:val="none"/>
              </w:rPr>
            </w:pPr>
            <w:r>
              <w:rPr>
                <w:rFonts w:ascii="Times New Roman" w:hAnsi="Times New Roman"/>
                <w:color w:val="auto"/>
                <w:szCs w:val="21"/>
                <w:highlight w:val="none"/>
              </w:rPr>
              <w:t xml:space="preserve">功能</w:t>
            </w:r>
            <w:r/>
          </w:p>
        </w:tc>
        <w:tc>
          <w:tcPr>
            <w:tcW w:w="6077" w:type="dxa"/>
            <w:textDirection w:val="lrTb"/>
            <w:noWrap w:val="false"/>
          </w:tcPr>
          <w:p>
            <w:pPr>
              <w:spacing w:line="360" w:lineRule="auto"/>
              <w:rPr>
                <w:color w:val="auto"/>
                <w:highlight w:val="none"/>
              </w:rPr>
            </w:pPr>
            <w:r>
              <w:rPr>
                <w:rFonts w:ascii="Times New Roman" w:hAnsi="Times New Roman"/>
                <w:color w:val="auto"/>
                <w:szCs w:val="21"/>
                <w:highlight w:val="none"/>
              </w:rPr>
              <w:t xml:space="preserve">功能要求</w:t>
            </w:r>
            <w:r/>
          </w:p>
        </w:tc>
      </w:tr>
      <w:tr>
        <w:trPr/>
        <w:tc>
          <w:tcPr>
            <w:tcW w:w="1026" w:type="dxa"/>
            <w:vMerge w:val="continue"/>
            <w:textDirection w:val="lrTb"/>
            <w:noWrap w:val="false"/>
          </w:tcPr>
          <w:p>
            <w:pPr>
              <w:pStyle w:val="766"/>
              <w:rPr>
                <w:color w:val="auto"/>
                <w:highlight w:val="none"/>
              </w:rPr>
            </w:pPr>
            <w:r>
              <w:rPr>
                <w:color w:val="auto"/>
                <w:highlight w:val="none"/>
              </w:rPr>
            </w:r>
            <w:r/>
          </w:p>
        </w:tc>
        <w:tc>
          <w:tcPr>
            <w:tcW w:w="1419" w:type="dxa"/>
            <w:textDirection w:val="lrTb"/>
            <w:noWrap w:val="false"/>
          </w:tcPr>
          <w:p>
            <w:pPr>
              <w:spacing w:line="360" w:lineRule="auto"/>
              <w:rPr>
                <w:color w:val="auto"/>
                <w:highlight w:val="none"/>
              </w:rPr>
            </w:pPr>
            <w:r>
              <w:rPr>
                <w:rFonts w:hint="eastAsia" w:ascii="Times New Roman" w:hAnsi="Times New Roman"/>
                <w:color w:val="auto"/>
                <w:szCs w:val="21"/>
                <w:highlight w:val="none"/>
              </w:rPr>
              <w:t xml:space="preserve">AI输液识别</w:t>
            </w:r>
            <w:r/>
          </w:p>
        </w:tc>
        <w:tc>
          <w:tcPr>
            <w:tcW w:w="6077" w:type="dxa"/>
            <w:textDirection w:val="lrTb"/>
            <w:noWrap w:val="false"/>
          </w:tcPr>
          <w:p>
            <w:pPr>
              <w:spacing w:line="360" w:lineRule="auto"/>
              <w:widowControl/>
              <w:rPr>
                <w:color w:val="auto"/>
                <w:highlight w:val="none"/>
              </w:rPr>
            </w:pPr>
            <w:r>
              <w:rPr>
                <w:rFonts w:hint="eastAsia" w:ascii="Times New Roman" w:hAnsi="Times New Roman"/>
                <w:color w:val="auto"/>
                <w:szCs w:val="21"/>
                <w:highlight w:val="none"/>
              </w:rPr>
              <w:t xml:space="preserve">在护理人员挂好输液袋/瓶后，支持无碰触开始/结束监控任务；支持合并输液报警器滴速及状态参数，对输液监控大屏界面进行统一展示；应展示输液状态、已输量、即将结束报警和空瓶报警等内容，出于隐私考虑，支持自动裁剪拍摄画面仅保留关键部位，并对画面中其他区域自动打码。</w:t>
            </w:r>
            <w:r/>
          </w:p>
        </w:tc>
      </w:tr>
    </w:tbl>
    <w:p>
      <w:pPr>
        <w:pStyle w:val="766"/>
        <w:rPr>
          <w:color w:val="auto"/>
          <w:highlight w:val="none"/>
        </w:rPr>
      </w:pPr>
      <w:r>
        <w:rPr>
          <w:color w:val="auto"/>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r>
      <w:r/>
    </w:p>
    <w:p>
      <w:pPr>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四、项目商务要求</w:t>
      </w:r>
      <w:r/>
    </w:p>
    <w:p>
      <w:pPr>
        <w:pStyle w:val="698"/>
        <w:ind w:left="0" w:firstLine="422"/>
        <w:spacing w:after="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1、项目管理与实施要求：</w:t>
      </w:r>
      <w:r/>
    </w:p>
    <w:p>
      <w:pPr>
        <w:pStyle w:val="698"/>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1.1投标人应具有健全的项目管理制度和流程，以及合格的项目实施人员，对项目建设进全过程质量管理，确保项目实施的顺利。</w:t>
      </w:r>
      <w:r/>
    </w:p>
    <w:p>
      <w:pPr>
        <w:pStyle w:val="699"/>
        <w:ind w:firstLine="420"/>
        <w:spacing w:line="360" w:lineRule="auto"/>
        <w:rPr>
          <w:color w:val="auto"/>
          <w:highlight w:val="none"/>
        </w:rPr>
      </w:pPr>
      <w:r>
        <w:rPr>
          <w:rFonts w:hint="eastAsia" w:ascii="宋体" w:hAnsi="宋体" w:cs="宋体"/>
          <w:color w:val="auto"/>
          <w:szCs w:val="21"/>
          <w:highlight w:val="none"/>
        </w:rPr>
        <w:t xml:space="preserve">项目实施人员：保障项目在管理、技术、安全及运维等多方面高质量交付和长期可靠运行，本项目要求投标人具备专业的人员团队，以确保其具备规范、安全、稳定的信息技术服务与运维保障能力。针对本项目须配备至少4名核心人员（其中包括项目负责人1名、技术安全负责人1名和团队其他人员2名），项目组成员在项目实施过程中不得随意变更，如需变更必须得到采购人同意。</w:t>
      </w:r>
      <w:r/>
    </w:p>
    <w:p>
      <w:pPr>
        <w:ind w:firstLine="420"/>
        <w:spacing w:line="360" w:lineRule="auto"/>
        <w:rPr>
          <w:color w:val="auto"/>
          <w:highlight w:val="none"/>
        </w:rPr>
      </w:pPr>
      <w:r>
        <w:rPr>
          <w:rFonts w:hint="eastAsia" w:ascii="宋体" w:hAnsi="宋体" w:cs="宋体"/>
          <w:color w:val="auto"/>
          <w:szCs w:val="21"/>
          <w:highlight w:val="none"/>
        </w:rPr>
        <w:t xml:space="preserve">1.2投标人应提供项目总体实施安装调试方案，包括但不限于（1）项目人员组织保障、（2）项目实施计划、（3）项目实施关键要素分析。</w:t>
      </w:r>
      <w:r/>
    </w:p>
    <w:p>
      <w:pPr>
        <w:pStyle w:val="698"/>
        <w:numPr>
          <w:ilvl w:val="0"/>
          <w:numId w:val="8"/>
        </w:numPr>
        <w:ind w:left="0" w:firstLine="422"/>
        <w:spacing w:after="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售后服务要求：</w:t>
      </w:r>
      <w:r/>
    </w:p>
    <w:p>
      <w:pPr>
        <w:pStyle w:val="696"/>
        <w:ind w:firstLine="420"/>
        <w:spacing w:line="360" w:lineRule="auto"/>
        <w:rPr>
          <w:color w:val="auto"/>
          <w:highlight w:val="none"/>
        </w:rPr>
      </w:pPr>
      <w:r>
        <w:rPr>
          <w:rFonts w:hint="eastAsia" w:ascii="宋体" w:hAnsi="宋体" w:cs="宋体"/>
          <w:color w:val="auto"/>
          <w:szCs w:val="21"/>
          <w:highlight w:val="none"/>
        </w:rPr>
        <w:t xml:space="preserve">2.1</w:t>
      </w:r>
      <w:r>
        <w:rPr>
          <w:rFonts w:hint="eastAsia"/>
          <w:color w:val="auto"/>
          <w:highlight w:val="none"/>
        </w:rPr>
        <w:t xml:space="preserve">本项目质保期不少于五年，</w:t>
      </w:r>
      <w:r>
        <w:rPr>
          <w:rFonts w:hint="eastAsia" w:ascii="宋体" w:hAnsi="宋体" w:cs="宋体"/>
          <w:color w:val="auto"/>
          <w:szCs w:val="21"/>
          <w:highlight w:val="none"/>
        </w:rPr>
        <w:t xml:space="preserve">质量保修期间产生的所有保修相关费用（包括但不限于人工费、备品备件、耗材、服务费、税金以及保修期间涉及到的系统升级以及其他一切费用）全部由投标人承担。</w:t>
      </w:r>
      <w:r/>
    </w:p>
    <w:p>
      <w:pPr>
        <w:pStyle w:val="698"/>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（1）在保修期内，如有损坏或质量不合格者，中标人应及时给予修复和更换，其修理和更换应免费。正常修理周期和修理期间需提供免费测试。</w:t>
      </w:r>
      <w:r/>
    </w:p>
    <w:p>
      <w:pPr>
        <w:pStyle w:val="698"/>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（2）在保修期外，投标人为</w:t>
      </w:r>
      <w:r>
        <w:rPr>
          <w:rFonts w:hint="eastAsia" w:ascii="宋体" w:hAnsi="宋体" w:eastAsia="宋体" w:cs="宋体"/>
          <w:color w:val="auto"/>
          <w:highlight w:val="none"/>
        </w:rPr>
        <w:t xml:space="preserve">货物</w:t>
      </w:r>
      <w:r>
        <w:rPr>
          <w:rFonts w:hint="eastAsia" w:ascii="宋体" w:hAnsi="宋体" w:eastAsia="宋体" w:cs="宋体"/>
          <w:color w:val="auto"/>
          <w:szCs w:val="21"/>
          <w:highlight w:val="none"/>
        </w:rPr>
        <w:t xml:space="preserve">提供终身维修服务，维修问题出现时，按技术参数服务要求相应条款处理。</w:t>
      </w:r>
      <w:r/>
    </w:p>
    <w:p>
      <w:pPr>
        <w:pStyle w:val="698"/>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（3）在保修期内，如果原厂方鉴定设备因为人为损坏，厂方须出具具有法定权威性第三方检测证明，否则一律视为保修范围内容处理。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（4）中标人应该在项目的实施过程中提供操作支持服务（包括但不限于）：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1）对影响到系统平稳作业以及操作使用的问题解答与分析，并提出解决方案；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2）对所有的维护活动进行记录，并形成规范的文档，例如记录时间、地点、原因等，最后还要注明完成的时间和人员；</w:t>
      </w:r>
      <w:r/>
    </w:p>
    <w:p>
      <w:pPr>
        <w:pStyle w:val="699"/>
        <w:ind w:firstLine="420"/>
        <w:spacing w:line="360" w:lineRule="auto"/>
        <w:rPr>
          <w:color w:val="auto"/>
          <w:highlight w:val="none"/>
        </w:rPr>
      </w:pPr>
      <w:r>
        <w:rPr>
          <w:rFonts w:hint="eastAsia" w:ascii="宋体" w:hAnsi="宋体" w:cs="宋体"/>
          <w:color w:val="auto"/>
          <w:szCs w:val="21"/>
          <w:highlight w:val="none"/>
        </w:rPr>
        <w:t xml:space="preserve">3）中标人提供7*24小时服务，2小时内远程响应，4小时内故障解决。</w:t>
      </w:r>
      <w:r/>
    </w:p>
    <w:p>
      <w:pPr>
        <w:ind w:firstLine="420"/>
        <w:spacing w:line="360" w:lineRule="auto"/>
        <w:rPr>
          <w:color w:val="auto"/>
          <w:highlight w:val="none"/>
        </w:rPr>
      </w:pPr>
      <w:r>
        <w:rPr>
          <w:rFonts w:hint="eastAsia" w:ascii="宋体" w:hAnsi="宋体" w:cs="宋体"/>
          <w:color w:val="auto"/>
          <w:szCs w:val="21"/>
          <w:highlight w:val="none"/>
        </w:rPr>
        <w:t xml:space="preserve">2.2</w:t>
      </w:r>
      <w:r>
        <w:rPr>
          <w:rFonts w:hint="eastAsia"/>
          <w:color w:val="auto"/>
          <w:highlight w:val="none"/>
        </w:rPr>
        <w:t xml:space="preserve">投标人应提供项目售后服务方案，包括但不限于（1）服务体系、（2）服务保障、（3）服务内容、（4）服务流程、（5）应急响应服务。</w:t>
      </w:r>
      <w:r/>
    </w:p>
    <w:p>
      <w:pPr>
        <w:pStyle w:val="698"/>
        <w:ind w:left="0" w:firstLine="422"/>
        <w:spacing w:after="0"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3、培训要求：</w:t>
      </w:r>
      <w:r/>
    </w:p>
    <w:p>
      <w:pPr>
        <w:pStyle w:val="698"/>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3.1负责对采购人、最终用户的操作、维修人员在项目所在地进行业务培训，并应达到能熟练操作并能排除常见故障的标准；</w:t>
      </w:r>
      <w:r/>
    </w:p>
    <w:p>
      <w:pPr>
        <w:ind w:firstLine="420"/>
        <w:spacing w:line="360" w:lineRule="auto"/>
        <w:rPr>
          <w:color w:val="auto"/>
          <w:highlight w:val="none"/>
        </w:rPr>
      </w:pPr>
      <w:r>
        <w:rPr>
          <w:rFonts w:hint="eastAsia" w:ascii="宋体" w:hAnsi="宋体" w:cs="宋体"/>
          <w:color w:val="auto"/>
          <w:szCs w:val="21"/>
          <w:highlight w:val="none"/>
        </w:rPr>
        <w:t xml:space="preserve">3.2投标人应提供项目培训方案，包括但不限于（1）培训人员配置、（2）培训内容、（3）培训策略。</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4、验收要求：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自验收合格之日起，所有设备至少提供五年质保，质保期内免费维保。维保期满后，中标人须提供最优惠的维修价格（人工费、出厂价零配件费、其他材料费等）进行相关服务，在货物寿命期内，中标人应能保证招标人更换到原厂正宗的零部件，保证维修配备。</w:t>
      </w:r>
      <w:r/>
    </w:p>
    <w:p>
      <w:pPr>
        <w:ind w:firstLine="422"/>
        <w:spacing w:line="360" w:lineRule="auto"/>
        <w:rPr>
          <w:rFonts w:hint="eastAsia" w:ascii="宋体" w:hAnsi="宋体" w:cs="宋体"/>
          <w:color w:val="auto"/>
          <w:szCs w:val="21"/>
          <w:highlight w:val="none"/>
        </w:rPr>
      </w:pPr>
      <w:r>
        <w:rPr>
          <w:rFonts w:hint="eastAsia"/>
          <w:b/>
          <w:bCs/>
          <w:color w:val="auto"/>
          <w:highlight w:val="none"/>
        </w:rPr>
        <w:t xml:space="preserve">4.2</w:t>
      </w:r>
      <w:r>
        <w:rPr>
          <w:rFonts w:hint="eastAsia"/>
          <w:b/>
          <w:bCs/>
          <w:i/>
          <w:iCs/>
          <w:color w:val="auto"/>
          <w:highlight w:val="none"/>
          <w:u w:val="single"/>
        </w:rPr>
        <w:t xml:space="preserve">本项目质保期外硬件部分维保费不得高于硬件价格的6%，软件部分维保费不得高于软件价格的8%。</w:t>
      </w:r>
      <w:r>
        <w:rPr>
          <w:rFonts w:hint="eastAsia" w:ascii="宋体" w:hAnsi="宋体" w:cs="宋体"/>
          <w:b/>
          <w:bCs/>
          <w:i/>
          <w:iCs/>
          <w:color w:val="auto"/>
          <w:szCs w:val="21"/>
          <w:highlight w:val="none"/>
          <w:u w:val="single"/>
        </w:rPr>
        <w:t xml:space="preserve">（提供承诺书，格式自拟，扫描件系统上传）</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4.3产品交付前，中标人应对产品进行全面自检，符合采购人要求的交付条件后，由中标人发起验收申请，采购人评估后组织验收。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4.4采购人在交货前有权对中标人提供的产品、技术、服务提出异议，并采取相关措施确保质量合格。</w:t>
      </w:r>
      <w:r/>
    </w:p>
    <w:p>
      <w:pPr>
        <w:pStyle w:val="698"/>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4.5产品验收不合格，采购人有权拒收和解除采购合同，由此造成的损失，由中标人承担。配件的供应和及时维修，维修价格保持不变（政策调整因素除外）。</w:t>
      </w:r>
      <w:r/>
    </w:p>
    <w:p>
      <w:pPr>
        <w:pStyle w:val="699"/>
        <w:ind w:firstLine="420"/>
        <w:spacing w:line="360" w:lineRule="auto"/>
        <w:rPr>
          <w:color w:val="auto"/>
          <w:highlight w:val="none"/>
        </w:rPr>
      </w:pPr>
      <w:r>
        <w:rPr>
          <w:rFonts w:hint="eastAsia" w:ascii="宋体" w:hAnsi="宋体" w:cs="宋体"/>
          <w:color w:val="auto"/>
          <w:szCs w:val="21"/>
          <w:highlight w:val="none"/>
        </w:rPr>
        <w:t xml:space="preserve">4.6因中标方所提供产品的安装、调试或运行，对采购人病区的医疗秩序、环境卫生、患者安全或设备设施造成重大不利影响的，视为中标人违约。采购人有权单方解除合同，合同解除后，采购人有权更换供应商，原中标方必须承担采购人因此遭受的全部直接和间接损失，包括但不限于重新采购的额外费用、工期延误损失及对其他第三方的赔偿。</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5、保密要求</w:t>
      </w:r>
      <w:r/>
    </w:p>
    <w:p>
      <w:pPr>
        <w:ind w:firstLine="422"/>
        <w:spacing w:line="360" w:lineRule="auto"/>
        <w:rPr>
          <w:b/>
          <w:bCs/>
          <w:color w:val="auto"/>
          <w:highlight w:val="none"/>
        </w:rPr>
      </w:pPr>
      <w:r>
        <w:rPr>
          <w:rFonts w:hint="eastAsia" w:ascii="宋体" w:hAnsi="宋体" w:cs="宋体"/>
          <w:b/>
          <w:bCs/>
          <w:i/>
          <w:iCs/>
          <w:color w:val="auto"/>
          <w:szCs w:val="21"/>
          <w:highlight w:val="none"/>
          <w:u w:val="single"/>
        </w:rPr>
        <w:t xml:space="preserve">投标人不得向第三方泄露采购人提供的技术文件等资料。（提供承诺书，格式自拟，扫描件系统上传）</w:t>
      </w:r>
      <w:r/>
    </w:p>
    <w:p>
      <w:pPr>
        <w:pStyle w:val="698"/>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6、交货地点：采购人指定地点</w:t>
      </w:r>
      <w:r/>
    </w:p>
    <w:p>
      <w:pPr>
        <w:pStyle w:val="698"/>
        <w:ind w:left="0" w:firstLine="420"/>
        <w:spacing w:after="0"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本项目为交钥匙项目，项目包含货物制作、安装、调试验收等相关的技术指导和售后服务、利润、保险、税金、以及所包含的风险、责任等所有费用均包含在报价内，请各投标人认真考虑其各种风险。除合同另有规定之外，伴随服务的费用均已含在合同价款中，采购人不再另行支付。</w:t>
      </w:r>
      <w:r/>
    </w:p>
    <w:p>
      <w:pPr>
        <w:ind w:firstLine="420"/>
        <w:spacing w:line="360" w:lineRule="auto"/>
        <w:rPr>
          <w:rFonts w:hint="eastAsia" w:ascii="宋体" w:hAnsi="宋体" w:cs="宋体"/>
          <w:color w:val="auto"/>
          <w:highlight w:val="none"/>
        </w:rPr>
      </w:pPr>
      <w:r>
        <w:rPr>
          <w:rFonts w:hint="eastAsia" w:ascii="宋体" w:hAnsi="宋体" w:cs="宋体"/>
          <w:color w:val="auto"/>
          <w:highlight w:val="none"/>
        </w:rPr>
        <w:t xml:space="preserve">8、供货周期：签订合同后90个日历天内完成所有项目内容并通过验收交付使用。货物由中标人运至招标人指定地点，验收交货前存放及保管概由投标人负责。货物材料的包装均应有良好的防湿、防锈、防潮、防雨、防腐及防碰撞的措施。凡由于包装不良造成的损失和由此产生的费用均由投标人承担。</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六、节能产品要求</w:t>
      </w:r>
      <w:r/>
    </w:p>
    <w:p>
      <w:pPr>
        <w:ind w:firstLine="420"/>
        <w:jc w:val="left"/>
        <w:spacing w:line="360" w:lineRule="auto"/>
        <w:rPr>
          <w:rFonts w:hint="eastAsia" w:ascii="宋体" w:hAnsi="宋体" w:cs="宋体"/>
          <w:i/>
          <w:iCs/>
          <w:color w:val="auto"/>
          <w:szCs w:val="21"/>
          <w:highlight w:val="none"/>
          <w:u w:val="single"/>
        </w:rPr>
      </w:pPr>
      <w:r>
        <w:rPr>
          <w:rFonts w:hint="eastAsia" w:ascii="宋体" w:hAnsi="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宋体" w:hAnsi="宋体" w:cs="宋体"/>
          <w:i/>
          <w:iCs/>
          <w:color w:val="auto"/>
          <w:szCs w:val="21"/>
          <w:highlight w:val="none"/>
          <w:u w:val="single"/>
        </w:rPr>
        <w:t xml:space="preserve">并在投标文件内提供由国家确定的认证机构出具的、处于有效期之内的节能产品认证证书原件，扫描上传，否则视为无效投标。（本项目涉及强制采购范围内产品有：无）</w:t>
      </w:r>
      <w:r/>
    </w:p>
    <w:p>
      <w:pPr>
        <w:pStyle w:val="915"/>
        <w:jc w:val="center"/>
        <w:spacing w:line="360" w:lineRule="auto"/>
        <w:rPr>
          <w:rFonts w:hint="eastAsia" w:ascii="宋体" w:hAnsi="宋体" w:cs="宋体"/>
          <w:color w:val="auto"/>
          <w:sz w:val="36"/>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auto"/>
          <w:sz w:val="36"/>
          <w:highlight w:val="none"/>
        </w:rPr>
      </w:r>
      <w:r/>
    </w:p>
    <w:p>
      <w:pPr>
        <w:pStyle w:val="680"/>
        <w:numPr>
          <w:ilvl w:val="0"/>
          <w:numId w:val="0"/>
        </w:numPr>
        <w:ind w:left="392"/>
        <w:rPr>
          <w:color w:val="auto"/>
          <w:highlight w:val="none"/>
        </w:rPr>
      </w:pPr>
      <w:r>
        <w:rPr>
          <w:rFonts w:hint="eastAsia"/>
          <w:color w:val="auto"/>
          <w:highlight w:val="none"/>
        </w:rPr>
        <w:t xml:space="preserve">第五章 评标方法及评标标准</w:t>
      </w:r>
      <w:bookmarkEnd w:id="62"/>
      <w:r/>
      <w:bookmarkEnd w:id="63"/>
      <w:r/>
      <w:r/>
    </w:p>
    <w:p>
      <w:pPr>
        <w:pStyle w:val="947"/>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一、评标方法</w:t>
      </w:r>
      <w:r/>
    </w:p>
    <w:p>
      <w:pPr>
        <w:pStyle w:val="947"/>
        <w:ind w:firstLine="420"/>
        <w:spacing w:before="0" w:after="0"/>
        <w:rPr>
          <w:rFonts w:hint="eastAsia" w:ascii="宋体" w:hAnsi="宋体" w:cs="宋体"/>
          <w:color w:val="auto"/>
          <w:sz w:val="21"/>
          <w:szCs w:val="21"/>
          <w:highlight w:val="none"/>
        </w:rPr>
      </w:pPr>
      <w:r/>
      <w:bookmarkStart w:id="64" w:name="_Toc449016388"/>
      <w:r/>
      <w:bookmarkStart w:id="65" w:name="_Toc449017024"/>
      <w:r>
        <w:rPr>
          <w:rFonts w:hint="eastAsia" w:ascii="宋体" w:hAnsi="宋体" w:cs="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二、政府采购政策功能落实</w:t>
      </w:r>
      <w:bookmarkEnd w:id="64"/>
      <w:r/>
      <w:bookmarkEnd w:id="65"/>
      <w:r/>
      <w:r/>
    </w:p>
    <w:p>
      <w:pPr>
        <w:ind w:firstLine="420"/>
        <w:spacing w:line="360" w:lineRule="auto"/>
        <w:rPr>
          <w:rFonts w:hint="eastAsia" w:ascii="宋体" w:hAnsi="宋体" w:cs="宋体"/>
          <w:b/>
          <w:color w:val="auto"/>
          <w:szCs w:val="21"/>
          <w:highlight w:val="none"/>
        </w:rPr>
      </w:pPr>
      <w:r>
        <w:rPr>
          <w:rFonts w:hint="eastAsia" w:ascii="宋体" w:hAnsi="宋体" w:cs="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1、小微型企业价格扣除</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（1）本项目对小型和微型企业产品给予20%的扣除价格，用扣除后的价格参与评审。</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（2）供应商需按照采购文件的要求提供相应的《中小企业声明函》。</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2、残疾人福利单位价格扣除</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（1）本项目对残疾人福利性单位视同小型、微型企业，给予20%的价格扣除，用扣除后的价格参与评审。</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（2）残疾人福利单位需按照采购文件的要求提供《残疾人福利性单位声明函》。</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（3）残疾人福利单位标准请参照《关于促进残疾人就业政府采购政策的通知》（财库2017〕141号）。</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3、监狱和戒毒企业价格扣除</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（1）本项目对监狱和戒毒企业（简称监狱企业）视同小型、微型企业，给予20%的价格扣除，用扣除后的价格参与评审。</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（3）监狱企业标准请参照《关于政府采购支持监狱企业发展有关问题的通知》（财库[2014]68号）。</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4、残疾人福利单位、监狱企业属于小型、微型企业的，不重复享受政策。</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6、联合体各方均为小型、微型企业（残疾人福利单位、监狱企业）的，联合体享受20%价格扣除，用扣除后的价格参与评审。</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947"/>
        <w:ind w:firstLine="422"/>
        <w:spacing w:before="0" w:after="0"/>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三、评标标准</w:t>
      </w:r>
      <w:r/>
    </w:p>
    <w:tbl>
      <w:tblPr>
        <w:tblStyle w:val="690"/>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921"/>
        <w:gridCol w:w="1064"/>
        <w:gridCol w:w="5787"/>
        <w:gridCol w:w="541"/>
      </w:tblGrid>
      <w:tr>
        <w:trPr>
          <w:jc w:val="center"/>
          <w:trHeight w:val="20"/>
        </w:trPr>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评分因素</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评分点</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评分标准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分值</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分配</w:t>
            </w:r>
            <w:r/>
          </w:p>
        </w:tc>
      </w:tr>
      <w:tr>
        <w:trPr>
          <w:jc w:val="center"/>
          <w:trHeight w:val="20"/>
        </w:trPr>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报价评分</w:t>
            </w:r>
            <w:r/>
          </w:p>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(30分)</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报价</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以满足招标文件要求的最低投标报价为评标基准价，得满分30分，其他投标报价得分=(评标基准价／其他投标报价)×30×100%。（保留两位小数）</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30</w:t>
            </w:r>
            <w:r/>
          </w:p>
        </w:tc>
      </w:tr>
      <w:tr>
        <w:trPr>
          <w:jc w:val="center"/>
          <w:trHeight w:val="925"/>
        </w:trPr>
        <w:tc>
          <w:tcPr>
            <w:tcBorders>
              <w:top w:val="single" w:color="auto" w:sz="4" w:space="0"/>
              <w:left w:val="single" w:color="auto" w:sz="4" w:space="0"/>
              <w:right w:val="single" w:color="auto" w:sz="4" w:space="0"/>
            </w:tcBorders>
            <w:tcW w:w="554" w:type="pct"/>
            <w:vAlign w:val="center"/>
            <w:vMerge w:val="restart"/>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商务部分（11分）</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企业业绩</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b/>
                <w:bCs/>
                <w:color w:val="auto"/>
                <w:szCs w:val="21"/>
                <w:highlight w:val="none"/>
              </w:rPr>
            </w:pPr>
            <w:r>
              <w:rPr>
                <w:rFonts w:hint="eastAsia" w:ascii="宋体" w:hAnsi="宋体"/>
                <w:color w:val="auto"/>
                <w:szCs w:val="21"/>
                <w:highlight w:val="none"/>
              </w:rPr>
              <w:t xml:space="preserve">投标人或核心产品制造商自2022年1月1日以来(以合同签订时间准)，承担过与本项目类似业绩合同，每提供一份得1分，满分4分。</w:t>
            </w:r>
            <w:r>
              <w:rPr>
                <w:rFonts w:hint="eastAsia" w:ascii="宋体" w:hAnsi="宋体"/>
                <w:b/>
                <w:bCs/>
                <w:color w:val="auto"/>
                <w:szCs w:val="21"/>
                <w:highlight w:val="none"/>
              </w:rPr>
              <w:t xml:space="preserve">（提供合同扫描件系统上传，合同要素至少包含签订时间、合同双方名称、合同内容、合同总价，合同要素不完整或者内容不清晰无法辨认或提供不全不得分）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r>
      <w:tr>
        <w:trPr>
          <w:jc w:val="center"/>
          <w:trHeight w:val="605"/>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w:t>
            </w:r>
            <w:r/>
          </w:p>
        </w:tc>
        <w:tc>
          <w:tcPr>
            <w:tcBorders>
              <w:top w:val="single" w:color="auto" w:sz="4" w:space="0"/>
              <w:left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企业资质</w:t>
            </w:r>
            <w:r/>
          </w:p>
        </w:tc>
        <w:tc>
          <w:tcPr>
            <w:tcBorders>
              <w:top w:val="single" w:color="auto" w:sz="4" w:space="0"/>
              <w:left w:val="single" w:color="auto" w:sz="4" w:space="0"/>
              <w:right w:val="single" w:color="auto" w:sz="4" w:space="0"/>
            </w:tcBorders>
            <w:tcW w:w="3480" w:type="pct"/>
            <w:vAlign w:val="center"/>
            <w:textDirection w:val="lrTb"/>
            <w:noWrap w:val="false"/>
          </w:tcPr>
          <w:p>
            <w:pPr>
              <w:spacing w:line="360" w:lineRule="auto"/>
              <w:rPr>
                <w:rFonts w:hint="eastAsia" w:ascii="宋体" w:hAnsi="宋体"/>
                <w:b/>
                <w:bCs/>
                <w:color w:val="auto"/>
                <w:szCs w:val="21"/>
                <w:highlight w:val="none"/>
              </w:rPr>
            </w:pPr>
            <w:r>
              <w:rPr>
                <w:rFonts w:hint="eastAsia" w:ascii="宋体" w:hAnsi="宋体"/>
                <w:color w:val="auto"/>
                <w:szCs w:val="21"/>
                <w:highlight w:val="none"/>
              </w:rPr>
              <w:t xml:space="preserve">1.投标人具有有效的信息安全管理体系认证证书、信息技术服务管理体系认证证书的，每提供一项得0.5分，满分1分；</w:t>
            </w:r>
            <w:r>
              <w:rPr>
                <w:rFonts w:hint="eastAsia" w:ascii="宋体" w:hAnsi="宋体"/>
                <w:b/>
                <w:bCs/>
                <w:color w:val="auto"/>
                <w:szCs w:val="21"/>
                <w:highlight w:val="none"/>
              </w:rPr>
              <w:t xml:space="preserve">（提供有效证书扫描件系统上传，未提供不得分）</w:t>
            </w:r>
            <w:r/>
          </w:p>
          <w:p>
            <w:pPr>
              <w:spacing w:line="360" w:lineRule="auto"/>
              <w:rPr>
                <w:rFonts w:eastAsiaTheme="minorEastAsia"/>
                <w:color w:val="auto"/>
                <w:highlight w:val="none"/>
              </w:rPr>
            </w:pPr>
            <w:r>
              <w:rPr>
                <w:rFonts w:hint="eastAsia" w:ascii="宋体" w:hAnsi="宋体"/>
                <w:color w:val="auto"/>
                <w:szCs w:val="21"/>
                <w:highlight w:val="none"/>
              </w:rPr>
              <w:t xml:space="preserve">2、投标人具有有效的ITSS信息技术服务标准（运行维护）证书，二级及以上得1分，二级以下得0.5分，不提供不得分。</w:t>
            </w:r>
            <w:r>
              <w:rPr>
                <w:rFonts w:hint="eastAsia" w:ascii="宋体" w:hAnsi="宋体"/>
                <w:b/>
                <w:bCs/>
                <w:color w:val="auto"/>
                <w:szCs w:val="21"/>
                <w:highlight w:val="none"/>
              </w:rPr>
              <w:t xml:space="preserve">（提供有效证书扫描件系统上传，未提供不得分）</w:t>
            </w:r>
            <w:r/>
          </w:p>
        </w:tc>
        <w:tc>
          <w:tcPr>
            <w:tcBorders>
              <w:top w:val="single" w:color="auto" w:sz="4" w:space="0"/>
              <w:left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r>
      <w:tr>
        <w:trPr>
          <w:jc w:val="center"/>
          <w:trHeight w:val="605"/>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人员资质</w:t>
            </w:r>
            <w:r/>
          </w:p>
        </w:tc>
        <w:tc>
          <w:tcPr>
            <w:tcBorders>
              <w:top w:val="single" w:color="auto" w:sz="4" w:space="0"/>
              <w:left w:val="single" w:color="auto" w:sz="4" w:space="0"/>
              <w:right w:val="single" w:color="auto" w:sz="4" w:space="0"/>
            </w:tcBorders>
            <w:tcW w:w="3480" w:type="pct"/>
            <w:vAlign w:val="center"/>
            <w:textDirection w:val="lrTb"/>
            <w:noWrap w:val="false"/>
          </w:tcPr>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1、投标人拟投入的项目总负责人（不可与本项目其他岗位兼职）具有信息系统项目管理师证书的得1分。</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2、投标人拟投入的项目技术安全负责人（不可与本项目其他岗位兼职）：具有系统集成项目管理工程师的得1分；注册信息安全专业人员（CISP）证书得1分，满分2分。</w:t>
            </w:r>
            <w:r/>
          </w:p>
          <w:p>
            <w:pPr>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3、投标人拟投入的项目团队人员（除项目总负责人、项目技术安全负责人外）：具有网络工程师证书的得1分；低压电工操作证的得1分，满分2分。</w:t>
            </w:r>
            <w:r/>
          </w:p>
          <w:p>
            <w:pPr>
              <w:pStyle w:val="696"/>
              <w:spacing w:line="360" w:lineRule="auto"/>
              <w:rPr>
                <w:rFonts w:hint="eastAsia" w:ascii="宋体" w:hAnsi="宋体"/>
                <w:color w:val="auto"/>
                <w:szCs w:val="21"/>
                <w:highlight w:val="none"/>
              </w:rPr>
            </w:pPr>
            <w:r>
              <w:rPr>
                <w:rFonts w:hint="eastAsia" w:ascii="宋体" w:hAnsi="宋体" w:cs="宋体"/>
                <w:b/>
                <w:bCs/>
                <w:color w:val="auto"/>
                <w:szCs w:val="21"/>
                <w:highlight w:val="none"/>
              </w:rPr>
              <w:t xml:space="preserve">（序号</w:t>
            </w:r>
            <w:r>
              <w:rPr>
                <w:rFonts w:hint="eastAsia" w:ascii="宋体" w:hAnsi="宋体"/>
                <w:b/>
                <w:bCs/>
                <w:color w:val="auto"/>
                <w:szCs w:val="21"/>
                <w:highlight w:val="none"/>
              </w:rPr>
              <w:t xml:space="preserve">3</w:t>
            </w:r>
            <w:r>
              <w:rPr>
                <w:rFonts w:hint="eastAsia" w:ascii="宋体" w:hAnsi="宋体" w:cs="宋体"/>
                <w:b/>
                <w:bCs/>
                <w:color w:val="auto"/>
                <w:szCs w:val="21"/>
                <w:highlight w:val="none"/>
              </w:rPr>
              <w:t xml:space="preserve">中同一人员多张证书不重复得分。需提供上述人员身相关证书以及投标人为其缴纳的近一年内任意一个月的社保证明扫描件上传，</w:t>
            </w:r>
            <w:r>
              <w:rPr>
                <w:rFonts w:hint="eastAsia" w:ascii="宋体" w:hAnsi="宋体"/>
                <w:b/>
                <w:color w:val="auto"/>
                <w:szCs w:val="21"/>
                <w:highlight w:val="none"/>
              </w:rPr>
              <w:t xml:space="preserve">提供不全或未提供不得分</w:t>
            </w:r>
            <w:r>
              <w:rPr>
                <w:rFonts w:hint="eastAsia" w:ascii="宋体" w:hAnsi="宋体" w:cs="宋体"/>
                <w:b/>
                <w:bCs/>
                <w:color w:val="auto"/>
                <w:szCs w:val="21"/>
                <w:highlight w:val="none"/>
              </w:rPr>
              <w:t xml:space="preserve">）</w:t>
            </w:r>
            <w:r/>
          </w:p>
        </w:tc>
        <w:tc>
          <w:tcPr>
            <w:tcBorders>
              <w:top w:val="single" w:color="auto" w:sz="4" w:space="0"/>
              <w:left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r>
      <w:tr>
        <w:trPr>
          <w:jc w:val="center"/>
          <w:trHeight w:val="529"/>
        </w:trPr>
        <w:tc>
          <w:tcPr>
            <w:tcBorders>
              <w:top w:val="single" w:color="auto" w:sz="4" w:space="0"/>
              <w:left w:val="single" w:color="auto" w:sz="4" w:space="0"/>
              <w:right w:val="single" w:color="auto" w:sz="4" w:space="0"/>
            </w:tcBorders>
            <w:tcW w:w="554" w:type="pct"/>
            <w:vAlign w:val="center"/>
            <w:vMerge w:val="restart"/>
            <w:textDirection w:val="lrTb"/>
            <w:noWrap w:val="false"/>
          </w:tcPr>
          <w:p>
            <w:pPr>
              <w:jc w:val="center"/>
              <w:spacing w:line="360" w:lineRule="auto"/>
              <w:rPr>
                <w:rFonts w:hint="eastAsia" w:ascii="宋体" w:hAnsi="宋体"/>
                <w:color w:val="auto"/>
                <w:szCs w:val="21"/>
                <w:highlight w:val="none"/>
              </w:rPr>
            </w:pPr>
            <w:r/>
            <w:bookmarkStart w:id="66" w:name="_Hlk183094661"/>
            <w:r>
              <w:rPr>
                <w:rFonts w:hint="eastAsia" w:ascii="宋体" w:hAnsi="宋体"/>
                <w:color w:val="auto"/>
                <w:szCs w:val="21"/>
                <w:highlight w:val="none"/>
              </w:rPr>
              <w:t xml:space="preserve">技术部分（59分）</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lang w:val="zh-CN"/>
              </w:rPr>
              <w:t xml:space="preserve">技术参数响应情况</w:t>
            </w:r>
            <w:r/>
          </w:p>
        </w:tc>
        <w:tc>
          <w:tcPr>
            <w:tcBorders>
              <w:top w:val="single" w:color="auto" w:sz="4" w:space="0"/>
              <w:left w:val="single" w:color="auto" w:sz="4" w:space="0"/>
              <w:bottom w:val="single" w:color="auto" w:sz="4" w:space="0"/>
              <w:right w:val="single" w:color="auto" w:sz="4" w:space="0"/>
            </w:tcBorders>
            <w:tcW w:w="3480" w:type="pct"/>
            <w:textDirection w:val="lrTb"/>
            <w:noWrap w:val="false"/>
          </w:tcPr>
          <w:p>
            <w:pPr>
              <w:spacing w:line="360" w:lineRule="auto"/>
              <w:rPr>
                <w:rFonts w:hint="default" w:ascii="Times New Roman" w:hAnsi="Times New Roman" w:eastAsia="宋体"/>
                <w:b w:val="0"/>
                <w:bCs w:val="0"/>
                <w:color w:val="auto"/>
                <w:szCs w:val="21"/>
                <w:highlight w:val="none"/>
                <w:lang w:val="en-US" w:eastAsia="zh-CN"/>
              </w:rPr>
            </w:pPr>
            <w:r>
              <w:rPr>
                <w:rFonts w:hint="eastAsia" w:ascii="宋体" w:hAnsi="宋体" w:cstheme="minorEastAsia"/>
                <w:b w:val="0"/>
                <w:bCs w:val="0"/>
                <w:color w:val="auto"/>
                <w:szCs w:val="21"/>
                <w:highlight w:val="none"/>
                <w:lang w:bidi="ar"/>
              </w:rPr>
              <w:t xml:space="preserve">招标文件中标注“</w:t>
            </w:r>
            <w:r>
              <w:rPr>
                <w:rFonts w:hint="eastAsia" w:ascii="Times New Roman" w:hAnsi="Times New Roman"/>
                <w:b w:val="0"/>
                <w:bCs w:val="0"/>
                <w:i w:val="0"/>
                <w:iCs w:val="0"/>
                <w:color w:val="auto"/>
                <w:szCs w:val="21"/>
                <w:highlight w:val="none"/>
              </w:rPr>
              <w:t xml:space="preserve">★</w:t>
            </w:r>
            <w:r>
              <w:rPr>
                <w:rFonts w:hint="eastAsia" w:ascii="宋体" w:hAnsi="宋体" w:cstheme="minorEastAsia"/>
                <w:b w:val="0"/>
                <w:bCs w:val="0"/>
                <w:color w:val="auto"/>
                <w:szCs w:val="21"/>
                <w:highlight w:val="none"/>
                <w:lang w:bidi="ar"/>
              </w:rPr>
              <w:t xml:space="preserve">”</w:t>
            </w:r>
            <w:r>
              <w:rPr>
                <w:rFonts w:hint="eastAsia" w:ascii="宋体" w:hAnsi="宋体" w:cstheme="minorEastAsia"/>
                <w:b w:val="0"/>
                <w:bCs w:val="0"/>
                <w:color w:val="auto"/>
                <w:szCs w:val="21"/>
                <w:highlight w:val="none"/>
                <w:lang w:val="en-US" w:eastAsia="zh-CN" w:bidi="ar"/>
              </w:rPr>
              <w:t xml:space="preserve">项</w:t>
            </w:r>
            <w:r>
              <w:rPr>
                <w:rFonts w:hint="eastAsia" w:ascii="宋体" w:hAnsi="宋体" w:cstheme="minorEastAsia"/>
                <w:b w:val="0"/>
                <w:bCs w:val="0"/>
                <w:color w:val="auto"/>
                <w:szCs w:val="21"/>
                <w:highlight w:val="none"/>
                <w:lang w:bidi="ar"/>
              </w:rPr>
              <w:t xml:space="preserve">的参数内容为实质性要求</w:t>
            </w:r>
            <w:r>
              <w:rPr>
                <w:rFonts w:hint="eastAsia" w:ascii="宋体" w:hAnsi="宋体" w:cstheme="minorEastAsia"/>
                <w:b w:val="0"/>
                <w:bCs w:val="0"/>
                <w:color w:val="auto"/>
                <w:szCs w:val="21"/>
                <w:highlight w:val="none"/>
                <w:lang w:eastAsia="zh-CN" w:bidi="ar"/>
              </w:rPr>
              <w:t xml:space="preserve">，</w:t>
            </w:r>
            <w:r>
              <w:rPr>
                <w:rFonts w:hint="eastAsia" w:ascii="宋体" w:hAnsi="宋体" w:cstheme="minorEastAsia"/>
                <w:b w:val="0"/>
                <w:bCs w:val="0"/>
                <w:color w:val="auto"/>
                <w:szCs w:val="21"/>
                <w:highlight w:val="none"/>
                <w:lang w:val="en-US" w:eastAsia="zh-CN" w:bidi="ar"/>
              </w:rPr>
              <w:t xml:space="preserve">不参与技术参数打分。</w:t>
            </w:r>
            <w:r/>
          </w:p>
          <w:p>
            <w:pPr>
              <w:spacing w:line="360" w:lineRule="auto"/>
              <w:rPr>
                <w:rFonts w:hint="eastAsia" w:ascii="宋体" w:hAnsi="宋体" w:cs="宋体"/>
                <w:color w:val="auto"/>
                <w:szCs w:val="21"/>
                <w:highlight w:val="none"/>
              </w:rPr>
            </w:pPr>
            <w:r>
              <w:rPr>
                <w:rFonts w:hint="eastAsia" w:ascii="Times New Roman" w:hAnsi="Times New Roman"/>
                <w:color w:val="auto"/>
                <w:szCs w:val="21"/>
                <w:highlight w:val="none"/>
              </w:rPr>
              <w:t xml:space="preserve">第四章项目需求【</w:t>
            </w:r>
            <w:r>
              <w:rPr>
                <w:rFonts w:hint="eastAsia" w:ascii="Times New Roman" w:hAnsi="Times New Roman"/>
                <w:b/>
                <w:bCs/>
                <w:color w:val="auto"/>
                <w:szCs w:val="21"/>
                <w:highlight w:val="none"/>
              </w:rPr>
              <w:t xml:space="preserve">二、项目具体要求  1.2产品参数要求</w:t>
            </w:r>
            <w:r>
              <w:rPr>
                <w:rFonts w:hint="eastAsia" w:ascii="Times New Roman" w:hAnsi="Times New Roman"/>
                <w:color w:val="auto"/>
                <w:szCs w:val="21"/>
                <w:highlight w:val="none"/>
              </w:rPr>
              <w:t xml:space="preserve">】</w:t>
            </w:r>
            <w:r/>
          </w:p>
          <w:p>
            <w:pPr>
              <w:pStyle w:val="696"/>
              <w:spacing w:line="360" w:lineRule="auto"/>
              <w:rPr>
                <w:rFonts w:hint="eastAsia" w:ascii="宋体" w:hAnsi="宋体" w:cstheme="minorEastAsia"/>
                <w:color w:val="auto"/>
                <w:szCs w:val="21"/>
                <w:highlight w:val="none"/>
                <w:lang w:bidi="ar"/>
              </w:rPr>
            </w:pPr>
            <w:r>
              <w:rPr>
                <w:rFonts w:hint="eastAsia" w:ascii="宋体" w:hAnsi="宋体" w:cstheme="minorEastAsia"/>
                <w:color w:val="auto"/>
                <w:szCs w:val="21"/>
                <w:highlight w:val="none"/>
                <w:lang w:bidi="ar"/>
              </w:rPr>
              <w:t xml:space="preserve">带“▲”号（共40个）项指标参数为重要参数，每提供1项重要参数的证明材料，得0.75分，总分30分，不提供不得分。</w:t>
            </w:r>
            <w:r/>
          </w:p>
          <w:p>
            <w:pPr>
              <w:pStyle w:val="696"/>
              <w:spacing w:line="360" w:lineRule="auto"/>
              <w:rPr>
                <w:rFonts w:hint="eastAsia" w:ascii="宋体" w:hAnsi="宋体" w:cstheme="minorEastAsia"/>
                <w:color w:val="auto"/>
                <w:szCs w:val="21"/>
                <w:highlight w:val="none"/>
                <w:lang w:bidi="ar"/>
              </w:rPr>
            </w:pPr>
            <w:r>
              <w:rPr>
                <w:rFonts w:hint="eastAsia" w:hAnsi="宋体" w:cstheme="minorEastAsia"/>
                <w:b/>
                <w:bCs/>
                <w:color w:val="auto"/>
                <w:highlight w:val="none"/>
              </w:rPr>
              <w:t xml:space="preserve">注：须按要求提供相关证明材料。</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30</w:t>
            </w:r>
            <w:bookmarkEnd w:id="66"/>
            <w:r/>
            <w:r/>
          </w:p>
        </w:tc>
      </w:tr>
      <w:tr>
        <w:trPr>
          <w:jc w:val="center"/>
          <w:trHeight w:val="1266"/>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bookmarkStart w:id="67" w:name="_Hlk183098066"/>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产品演示</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投标人应在系统内上传演示视频，视频文件的格式为*.mp4或*.avi，投标人须将视频文件分段压缩为*.zip文件上传。视频时长总计不超过</w:t>
            </w:r>
            <w:r>
              <w:rPr>
                <w:rFonts w:hint="eastAsia" w:ascii="宋体" w:hAnsi="宋体" w:cs="宋体"/>
                <w:b/>
                <w:bCs/>
                <w:color w:val="auto"/>
                <w:szCs w:val="21"/>
                <w:highlight w:val="none"/>
                <w:lang w:val="en-US" w:eastAsia="zh-CN"/>
              </w:rPr>
              <w:t xml:space="preserve">25</w:t>
            </w:r>
            <w:r>
              <w:rPr>
                <w:rFonts w:hint="eastAsia" w:ascii="宋体" w:hAnsi="宋体" w:cs="宋体"/>
                <w:b/>
                <w:bCs/>
                <w:color w:val="auto"/>
                <w:szCs w:val="21"/>
                <w:highlight w:val="none"/>
              </w:rPr>
              <w:t xml:space="preserve">分钟。同时将演示视频（备份件）存放在U盘内，将U盘密封包装（注明供应商名称、项目名称），在投标截止时间前采用邮寄或现场送达的方式，递交至江苏省扬州市翠岗路48号江苏苏维工程管理有限公司二楼代理一部（联系人：孙玉君0514-82129121），由工作人员签收保存。评标当日，如苏采云系统内视频无法正常打开，将播放备份件，否则备份件不予拆封，原路退回。</w:t>
            </w:r>
            <w:r/>
          </w:p>
          <w:p>
            <w:pPr>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演示要求：</w:t>
            </w:r>
            <w:r/>
          </w:p>
          <w:p>
            <w:pPr>
              <w:jc w:val="left"/>
              <w:spacing w:line="360" w:lineRule="auto"/>
              <w:widowControl/>
              <w:rPr>
                <w:rFonts w:hint="eastAsia" w:ascii="宋体" w:hAnsi="宋体"/>
                <w:color w:val="auto"/>
                <w:szCs w:val="21"/>
                <w:highlight w:val="none"/>
              </w:rPr>
            </w:pPr>
            <w:r>
              <w:rPr>
                <w:rFonts w:hint="eastAsia" w:ascii="宋体" w:hAnsi="宋体" w:cs="宋体"/>
                <w:color w:val="auto"/>
                <w:szCs w:val="21"/>
                <w:highlight w:val="none"/>
              </w:rPr>
              <w:t xml:space="preserve">投标人需按照招标文件规定的演示内容制作演示视频文件，上传的演示视频将作为投标文件的组成部分，视频时长总计不超过25分钟。</w:t>
            </w:r>
            <w:r>
              <w:rPr>
                <w:rFonts w:hint="eastAsia" w:ascii="宋体" w:hAnsi="宋体" w:cs="宋体"/>
                <w:color w:val="auto"/>
                <w:szCs w:val="21"/>
                <w:highlight w:val="none"/>
              </w:rPr>
              <w:br/>
            </w:r>
            <w:r>
              <w:rPr>
                <w:rFonts w:hint="eastAsia" w:ascii="宋体" w:hAnsi="宋体" w:cs="宋体"/>
                <w:color w:val="auto"/>
                <w:szCs w:val="21"/>
                <w:highlight w:val="none"/>
              </w:rPr>
              <w:t xml:space="preserve">演示内容：</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医护主机：考虑医院场景下院感要求，主机正面纯平面设计无物理按键，方便医院消毒清洁；主机内置一体化护理指示灯，两侧布局条状指示灯便于进行声光提示；通话手柄采用电磁感应设计，无外漏麦克风，无传统话机机械装置。完成规定的演示内容并上传演示视频文件，得1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2、医护主机多路通话保持演示:护士站主机有多路通话保持功能，支持与床头分机在未接通时的多路通话处理，可选择接听、忽略、挂断；在通话过程中，可以选择将当前通话保持或挂断，恢复通话保持中的通话；在呼叫未处理状态下，护士可用手掌通过红外和光感模组在床头分机前挥动触发亮屏，以清除呼叫请求。完成规定的演示内容并上传演示视频文件，得1.5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3、医护主机通话保持功能演示：在WEB页面端，以科室单元进行配置，配置通话保持数量应≥5路分机；不少于5个床头分机依次发起呼叫，在护士站主机端可依次接听，且在接通1路通话的同时保持其余4路，并依次恢复通话；完成规定的演示内容并上传演示视频文件，得1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4、医护主机音视频互换：床头分机与护士站主机在进行语音/视频通话时，两端都能主动进行语音和视频之间转换，且不中断当前通话；完成规定的演示内容并上传演示视频文件，得1.5分。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5、医护主机隐私通话：护士站主机视频通话时可控制是否对方看到本机画面隐私通话，隐私通话开启后床头分机无法看到护士站主机画面；同时也支持在通话过程中关闭隐私通话；完成规定的演示内容并上传演示视频文件，得1.5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6、医护主机通话优先级：支持床头分机、卫生间分机与护士站主机通话时，通话优先级打断(根据预先设置的优先级),高等级通话可以打断低等级通话；完成规定的演示内容并上传演示视频文件，得1.5分。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7、医护主机AI语音转文字功能：护士站主机与床头分机通话时，护士站主机可实时将患者通话语音内容通过文字方式进行展示。完成规定的演示内容并上传演示视频文件，得1分。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8、ICU床头分机：分机采用全触屏设计，正面无任何物理按键，以符合院感要求，分机侧方或下方出音，以防灰尘异物等进入喇叭，也便于设备的消毒清洁；多功能呼叫手柄具备物理呼叫按键、物理换药按键、物理取消按键、具备LED灯、物理熄屏按键。完成规定的演示内容并上传演示视频文件，得1.5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9、ICU床头分机功能加密：床头分机功能支持自定义的功能模块加密（如检查报告、医嘱等信息）；科室可按实际情况进行加密功能的自主管理。完成规定的演示内容并上传演示视频文件，得1分。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10、ICU床头分机红外感应演示：在床头分机前，屏幕可通过红外感应亮起，以供护士查看内容；红外模组可识别患者离开后，自动息屏；完成规定的演示内容并上传演示视频文件，得1分。</w:t>
            </w:r>
            <w:r/>
          </w:p>
          <w:p>
            <w:pPr>
              <w:jc w:val="left"/>
              <w:spacing w:line="360" w:lineRule="auto"/>
              <w:widowControl/>
              <w:rPr>
                <w:color w:val="auto"/>
                <w:highlight w:val="none"/>
              </w:rPr>
            </w:pPr>
            <w:r>
              <w:rPr>
                <w:rFonts w:hint="eastAsia" w:ascii="宋体" w:hAnsi="宋体"/>
                <w:color w:val="auto"/>
                <w:szCs w:val="21"/>
                <w:highlight w:val="none"/>
              </w:rPr>
              <w:t xml:space="preserve">11、门口分机具有护士定位按键：护士可通过门口机进行护士定位，当该房间无床位呼叫时走廊屏显示护士所在房间，多房间有护士进入时，走廊屏可显示多个护士所在房间；分机内置一体化门灯，门灯位于分机两侧，便于护士观察，支持不同呼叫级别和呼叫类型的区分颜色（应满足一级护理、二级护理、三级护理、特级护理、紧急报警、增援报警、护士定位等多种报警提示颜色不少于7色），同时进行声音提示。完成规定的演示内容并上传演示视频文件，得1分。</w:t>
            </w:r>
            <w:r/>
          </w:p>
          <w:p>
            <w:pPr>
              <w:jc w:val="left"/>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12、</w:t>
            </w:r>
            <w:r>
              <w:rPr>
                <w:rFonts w:ascii="Times New Roman"/>
                <w:color w:val="auto"/>
                <w:szCs w:val="21"/>
                <w:highlight w:val="none"/>
              </w:rPr>
              <w:t xml:space="preserve">AI输液识别系统</w:t>
            </w:r>
            <w:r>
              <w:rPr>
                <w:rFonts w:hint="eastAsia" w:ascii="宋体" w:hAnsi="宋体"/>
                <w:color w:val="auto"/>
                <w:szCs w:val="21"/>
                <w:highlight w:val="none"/>
              </w:rPr>
              <w:t xml:space="preserve">AI输液识别：在护理人员挂好输液袋/瓶后，支持无碰触开始/结束监控任务；支持合并输液报警器滴速及状态参数，对输液监控大屏界面进行统一展示；应展示输液状态、已输量、即将结束报警和空瓶报警等内容，出于隐私考虑，支持自动裁剪拍摄画面仅保留关键部位，并对画面中其他区域自动打码。完成规定的演示内容并上传演示视频文件，得1.5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15</w:t>
            </w:r>
            <w:bookmarkEnd w:id="67"/>
            <w:r/>
            <w:r/>
          </w:p>
        </w:tc>
      </w:tr>
      <w:tr>
        <w:trPr>
          <w:jc w:val="center"/>
          <w:trHeight w:val="416"/>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设计方案</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根据采购人提供的项目设计方案，包括但不限于：建设背景、建设原则、建设依据、需求概述、需求定位、网络构架、系统功能、终端功能（包括医护主机、床头分机、门口分机、卫生间分机、走廊屏等）。</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rPr>
                <w:rFonts w:ascii="Segoe UI" w:hAnsi="Segoe UI" w:eastAsia="Segoe UI" w:cs="Segoe UI"/>
                <w:color w:val="auto"/>
                <w:szCs w:val="21"/>
                <w:highlight w:val="none"/>
                <w:shd w:val="clear" w:color="auto" w:fill="ffffff"/>
              </w:rPr>
              <w:t xml:space="preserve">方案逻辑严密，</w:t>
            </w:r>
            <w:r>
              <w:rPr>
                <w:rFonts w:ascii="Segoe UI" w:hAnsi="Segoe UI" w:eastAsia="Segoe UI" w:cs="Segoe UI"/>
                <w:color w:val="auto"/>
                <w:szCs w:val="21"/>
                <w:highlight w:val="none"/>
                <w:shd w:val="clear" w:color="auto" w:fill="ffffff"/>
              </w:rPr>
              <w:t xml:space="preserve">具有前瞻性。“建设依据”部分不仅全面引用了现行、有效的国家、行业标准规范，还能结合项目具体特点进行深入解读，方案设计与规范要求高度契合且体现出优化与创新。对“建设背景”、“需求概述”和“需求定位”的分析深入，精准地凸显了项目的独特需求和核心价值。“网络架构”设计先进、合理，不仅详细描述了核心功能及复杂的联动逻辑（如多级报警、信息同步机制），还考虑了网络冗余、数据安全等高级特性。对“系统功能”和“终端功能”（医护主机、床头分机等）的描述非常具体、深入，涵盖了性能参数、用户体验、异常处理机制及详细的安装部署要求</w:t>
            </w:r>
            <w:r>
              <w:rPr>
                <w:rFonts w:hint="eastAsia" w:ascii="Segoe UI" w:hAnsi="Segoe UI" w:cs="Segoe UI"/>
                <w:color w:val="auto"/>
                <w:szCs w:val="21"/>
                <w:highlight w:val="none"/>
                <w:shd w:val="clear" w:color="auto" w:fill="ffffff"/>
              </w:rPr>
              <w:t xml:space="preserve">，还</w:t>
            </w:r>
            <w:r>
              <w:rPr>
                <w:rFonts w:hint="eastAsia" w:ascii="宋体" w:hAnsi="宋体"/>
                <w:bCs/>
                <w:color w:val="auto"/>
                <w:szCs w:val="21"/>
                <w:highlight w:val="none"/>
              </w:rPr>
              <w:t xml:space="preserve">考虑了未来系统的扩展能力（如增加床位、新增功能模块）以及与医院其他信息系统（如HIS、护士站系统）的接口兼容性设计的，得4分；</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rPr>
                <w:rFonts w:ascii="Segoe UI" w:hAnsi="Segoe UI" w:eastAsia="Segoe UI" w:cs="Segoe UI"/>
                <w:color w:val="auto"/>
                <w:szCs w:val="21"/>
                <w:highlight w:val="none"/>
                <w:shd w:val="clear" w:color="auto" w:fill="ffffff"/>
              </w:rPr>
              <w:t xml:space="preserve">方案逻辑</w:t>
            </w:r>
            <w:r>
              <w:rPr>
                <w:rFonts w:hint="eastAsia" w:ascii="Segoe UI" w:hAnsi="Segoe UI" w:cs="Segoe UI"/>
                <w:color w:val="auto"/>
                <w:szCs w:val="21"/>
                <w:highlight w:val="none"/>
                <w:shd w:val="clear" w:color="auto" w:fill="ffffff"/>
              </w:rPr>
              <w:t xml:space="preserve">较</w:t>
            </w:r>
            <w:r>
              <w:rPr>
                <w:rFonts w:ascii="Segoe UI" w:hAnsi="Segoe UI" w:eastAsia="Segoe UI" w:cs="Segoe UI"/>
                <w:color w:val="auto"/>
                <w:szCs w:val="21"/>
                <w:highlight w:val="none"/>
                <w:shd w:val="clear" w:color="auto" w:fill="ffffff"/>
              </w:rPr>
              <w:t xml:space="preserve">严密</w:t>
            </w:r>
            <w:r>
              <w:rPr>
                <w:rFonts w:hint="eastAsia" w:ascii="Segoe UI" w:hAnsi="Segoe UI" w:cs="Segoe UI"/>
                <w:color w:val="auto"/>
                <w:szCs w:val="21"/>
                <w:highlight w:val="none"/>
                <w:shd w:val="clear" w:color="auto" w:fill="ffffff"/>
              </w:rPr>
              <w:t xml:space="preserve">，</w:t>
            </w:r>
            <w:r>
              <w:rPr>
                <w:rFonts w:ascii="Segoe UI" w:hAnsi="Segoe UI" w:eastAsia="Segoe UI" w:cs="Segoe UI"/>
                <w:color w:val="auto"/>
                <w:szCs w:val="21"/>
                <w:highlight w:val="none"/>
                <w:shd w:val="clear" w:color="auto" w:fill="ffffff"/>
              </w:rPr>
              <w:t xml:space="preserve">“建设依据”部分引用了现行、有效的国家、行业相关标准规范，并确保方案设计与这些规范高度契合。结构完整，涵盖了所有指定部分。“网络架构”详细描述了呼叫对讲、紧急报警、信息显示、录音录像、系统管理等核心功能，并清晰地阐述了功能之间的联动逻辑（如卫生间分机报警与主机、走廊屏的联动）。对终端的核心功能、性能参数、安装部署要求等进行了具体且有针对性的说明。设备选型与功能需求、性能要求匹配，关键设备和终端的配置清单</w:t>
            </w:r>
            <w:r>
              <w:rPr>
                <w:rFonts w:hint="eastAsia" w:ascii="Segoe UI" w:hAnsi="Segoe UI" w:cs="Segoe UI"/>
                <w:color w:val="auto"/>
                <w:szCs w:val="21"/>
                <w:highlight w:val="none"/>
                <w:shd w:val="clear" w:color="auto" w:fill="ffffff"/>
              </w:rPr>
              <w:t xml:space="preserve">较</w:t>
            </w:r>
            <w:r>
              <w:rPr>
                <w:rFonts w:ascii="Segoe UI" w:hAnsi="Segoe UI" w:eastAsia="Segoe UI" w:cs="Segoe UI"/>
                <w:color w:val="auto"/>
                <w:szCs w:val="21"/>
                <w:highlight w:val="none"/>
                <w:shd w:val="clear" w:color="auto" w:fill="ffffff"/>
              </w:rPr>
              <w:t xml:space="preserve">完整。方案考虑了未来系统的扩展能力以及与医院其他信息系统的接口兼容性</w:t>
            </w:r>
            <w:r>
              <w:rPr>
                <w:rFonts w:hint="eastAsia" w:ascii="Segoe UI" w:hAnsi="Segoe UI" w:cs="Segoe UI"/>
                <w:color w:val="auto"/>
                <w:szCs w:val="21"/>
                <w:highlight w:val="none"/>
                <w:shd w:val="clear" w:color="auto" w:fill="ffffff"/>
              </w:rPr>
              <w:t xml:space="preserve">的，得3分；</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方案结构基本完整，涵盖了所有指定部分，但部分内容较为笼统或不够深入。引用了相关规范，但可能不够全面或与设计内容的关联性不强。对需求和背景进行了分析，但深度一般，未能充分凸显项目特色和精准定位。“网络架构”细节不足或不够优化。“系统功能”和“终端功能”列出了主要项目，但描述相对概括，对于功能联动、异常处理等细节考虑不周的，得2分；</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方案结构松散，虽提及了大部分要求的内容，但存在明显缺失（如缺少“建设依据”或“需求定位”），或内容仅为口号式堆砌。缺乏引用的标准规范，或引用已过时。对需求和背景的描述非常简略，流于形式。“网络架构”设计简单。“系统功能”和“终端功能”仅罗列了名称，缺乏具体的功能描述和实现方式说明。对于指定终端的功能描述模糊或不全，提供了设备清单，但配置与需求的关联性不强的，得1分；</w:t>
            </w:r>
            <w:r/>
          </w:p>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（5）方案内容完全不符合采购需求，缺少方案的核心部分（如完全未涉及网络架构或终端功能）或方案设计与采购需求严重背离或未提供方案的不得分。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r>
      <w:tr>
        <w:trPr>
          <w:jc w:val="center"/>
          <w:trHeight w:val="20"/>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实施方案</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满足招标文件的实施要求（包括但不限于1.项目人员组织保障、2.项目实施计划、3.项目实施关键要素分析）的基础上，根据投标人提供的实施方案进行打分。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rPr>
                <w:rFonts w:ascii="Segoe UI" w:hAnsi="Segoe UI" w:eastAsia="Segoe UI" w:cs="Segoe UI"/>
                <w:color w:val="auto"/>
                <w:szCs w:val="21"/>
                <w:highlight w:val="none"/>
                <w:shd w:val="clear" w:color="auto" w:fill="ffffff"/>
              </w:rPr>
              <w:t xml:space="preserve">实施方案详尽周密，结构完整，逻辑清晰。工作分解细致合理，完全覆盖所有关键工序；进度计划科学严谨，关键路径清晰，节点明</w:t>
            </w:r>
            <w:r>
              <w:rPr>
                <w:rFonts w:ascii="Segoe UI" w:hAnsi="Segoe UI" w:eastAsia="Segoe UI" w:cs="Segoe UI"/>
                <w:color w:val="auto"/>
                <w:szCs w:val="21"/>
                <w:highlight w:val="none"/>
                <w:shd w:val="clear" w:color="auto" w:fill="ffffff"/>
              </w:rPr>
              <w:t xml:space="preserve">确具体；项目组织架构完整，岗位权责清晰明确；人员进场计划与施工进度高度联动，安排合理高效；具备完善的质量管理体系，检验标准与流程明确，质量控制点设置全面；安全管理方案系统性强，防护措施具体且可操作性强；对可能延误的环节有准确预判，并制定具体有效的纠偏措施；对设备、材料及成品保护等有周密安排；应急预案全面，覆盖各类常见紧急情况，组织机构与人员分工明确，联络机制畅通，处置流程清晰具体，可操作性强；试运行前提条件、范围、时间、步骤描述清晰；测试大纲详尽，验收标准明确且量化；验收流程严格符合国家/行业规范及合同要求</w:t>
            </w:r>
            <w:r>
              <w:rPr>
                <w:rFonts w:hint="eastAsia" w:asciiTheme="minorEastAsia" w:hAnsiTheme="minorEastAsia" w:eastAsiaTheme="minorEastAsia" w:cstheme="minorEastAsia"/>
                <w:color w:val="auto"/>
                <w:szCs w:val="21"/>
                <w:highlight w:val="none"/>
              </w:rPr>
              <w:t xml:space="preserve">的，得4分；</w:t>
            </w:r>
            <w:r/>
          </w:p>
          <w:p>
            <w:pPr>
              <w:spacing w:line="360" w:lineRule="auto"/>
              <w:rPr>
                <w:rFonts w:hint="eastAsia" w:ascii="宋体" w:hAnsi="宋体" w:cs="宋体"/>
                <w:color w:val="auto"/>
                <w:szCs w:val="21"/>
                <w:highlight w:val="none"/>
              </w:rPr>
            </w:pPr>
            <w:r>
              <w:rPr>
                <w:rFonts w:asciiTheme="minorEastAsia" w:hAnsiTheme="minorEastAsia" w:eastAsiaTheme="minorEastAsia" w:cstheme="minorEastAsia"/>
                <w:color w:val="auto"/>
                <w:szCs w:val="21"/>
                <w:highlight w:val="none"/>
              </w:rPr>
              <w:t xml:space="preserve">（2）</w:t>
            </w:r>
            <w:r>
              <w:rPr>
                <w:rFonts w:ascii="Segoe UI" w:hAnsi="Segoe UI" w:eastAsia="Segoe UI" w:cs="Segoe UI"/>
                <w:color w:val="auto"/>
                <w:szCs w:val="21"/>
                <w:highlight w:val="none"/>
                <w:shd w:val="clear" w:color="auto" w:fill="ffffff"/>
              </w:rPr>
              <w:t xml:space="preserve">实施方案较为详尽，涵盖所有关键要素，内容完整。工作分解基本合理，进度计划有主要节点，逻辑关系基本清晰；项目组织架构和人员分工明确；质量、安全、进度保障措施均已涉及，内容较为全面，但部分措施的针对性和深度略有不足；应急预案基本覆盖主要紧急情况，处置流程较为清晰，但细节和可操作</w:t>
            </w:r>
            <w:r>
              <w:rPr>
                <w:rFonts w:hint="eastAsia" w:ascii="宋体" w:hAnsi="宋体" w:cs="宋体"/>
                <w:color w:val="auto"/>
                <w:szCs w:val="21"/>
                <w:highlight w:val="none"/>
                <w:shd w:val="clear" w:color="auto" w:fill="ffffff"/>
              </w:rPr>
              <w:t xml:space="preserve">性有待提升；试运行与验收环节有描述，测试标准与流程基本满足要求，但细致程度一般；整体方案具备可执行性，无明显重大疏漏</w:t>
            </w:r>
            <w:r>
              <w:rPr>
                <w:rFonts w:hint="eastAsia" w:ascii="宋体" w:hAnsi="宋体" w:cs="宋体"/>
                <w:color w:val="auto"/>
                <w:szCs w:val="21"/>
                <w:highlight w:val="none"/>
              </w:rPr>
              <w:t xml:space="preserve">的，得3分；</w:t>
            </w:r>
            <w:r/>
          </w:p>
          <w:p>
            <w:pPr>
              <w:spacing w:line="360" w:lineRule="auto"/>
              <w:rPr>
                <w:rFonts w:hint="eastAsia" w:ascii="宋体" w:hAnsi="宋体" w:cs="宋体"/>
                <w:color w:val="auto"/>
                <w:szCs w:val="21"/>
                <w:highlight w:val="none"/>
                <w:shd w:val="clear" w:color="auto" w:fill="ffffff"/>
              </w:rPr>
            </w:pPr>
            <w:r>
              <w:rPr>
                <w:rFonts w:hint="eastAsia" w:ascii="宋体" w:hAnsi="宋体" w:cs="宋体"/>
                <w:color w:val="auto"/>
                <w:szCs w:val="21"/>
                <w:highlight w:val="none"/>
              </w:rPr>
              <w:t xml:space="preserve">（3）</w:t>
            </w:r>
            <w:r>
              <w:rPr>
                <w:rFonts w:hint="eastAsia" w:ascii="宋体" w:hAnsi="宋体" w:cs="宋体"/>
                <w:color w:val="auto"/>
                <w:szCs w:val="21"/>
                <w:highlight w:val="none"/>
                <w:shd w:val="clear" w:color="auto" w:fill="ffffff"/>
              </w:rPr>
              <w:t xml:space="preserve">实施方案框架基本完整，但部分内容不够深入或存在疏漏。进度计划简单，关键节点缺失或模糊；项目组织架构和人员分工基本明确，但权责不够清晰；质量、安全等措施已提及，但缺乏系统性和具体保障手段；应急预案内容较为空泛，缺乏可执行的流程和职责分工；试运行和验收环节仅简单说明，缺乏实质性内容；方案整体可执行性一般，需进一步补充完善的，得2分；</w:t>
            </w:r>
            <w:r/>
          </w:p>
          <w:p>
            <w:pPr>
              <w:spacing w:line="360" w:lineRule="auto"/>
              <w:rPr>
                <w:rFonts w:ascii="Segoe UI" w:hAnsi="Segoe UI" w:cs="Segoe UI"/>
                <w:color w:val="auto"/>
                <w:szCs w:val="21"/>
                <w:highlight w:val="none"/>
                <w:shd w:val="clear" w:color="auto" w:fill="ffffff"/>
              </w:rPr>
            </w:pPr>
            <w:r>
              <w:rPr>
                <w:rFonts w:hint="eastAsia" w:ascii="宋体" w:hAnsi="宋体" w:cs="宋体"/>
                <w:color w:val="auto"/>
                <w:szCs w:val="21"/>
                <w:highlight w:val="none"/>
                <w:shd w:val="clear" w:color="auto" w:fill="ffffff"/>
              </w:rPr>
              <w:t xml:space="preserve">（4）</w:t>
            </w:r>
            <w:r>
              <w:rPr>
                <w:rFonts w:ascii="Segoe UI" w:hAnsi="Segoe UI" w:eastAsia="Segoe UI" w:cs="Segoe UI"/>
                <w:color w:val="auto"/>
                <w:szCs w:val="21"/>
                <w:highlight w:val="none"/>
                <w:shd w:val="clear" w:color="auto" w:fill="ffffff"/>
              </w:rPr>
              <w:t xml:space="preserve">实施方案内容存在明显缺失或重大不足，如缺少关键部分的详细描述（如质量、安全、进度保障等核心要素）；进度计划不合理，节点缺失严重；组织架构不清晰，人员职责模糊；质量、安全等措施仅简单提及，缺乏具体内容；应急预案流于形式，无可操作性；试运行与验收环节描述过于简略；方案整体与项目实际脱节，可执行性差</w:t>
            </w:r>
            <w:r>
              <w:rPr>
                <w:rFonts w:hint="eastAsia" w:ascii="Segoe UI" w:hAnsi="Segoe UI" w:cs="Segoe UI"/>
                <w:color w:val="auto"/>
                <w:szCs w:val="21"/>
                <w:highlight w:val="none"/>
                <w:shd w:val="clear" w:color="auto" w:fill="ffffff"/>
              </w:rPr>
              <w:t xml:space="preserve">的，得1分；</w:t>
            </w:r>
            <w:r/>
          </w:p>
          <w:p>
            <w:pPr>
              <w:spacing w:line="360" w:lineRule="auto"/>
              <w:rPr>
                <w:rFonts w:ascii="Segoe UI" w:hAnsi="Segoe UI" w:cs="Segoe UI"/>
                <w:color w:val="auto"/>
                <w:szCs w:val="21"/>
                <w:highlight w:val="none"/>
                <w:shd w:val="clear" w:color="auto" w:fill="ffffff"/>
              </w:rPr>
            </w:pPr>
            <w:r>
              <w:rPr>
                <w:rFonts w:hint="eastAsia" w:ascii="宋体" w:hAnsi="宋体" w:cs="宋体"/>
                <w:color w:val="auto"/>
                <w:szCs w:val="21"/>
                <w:highlight w:val="none"/>
                <w:shd w:val="clear" w:color="auto" w:fill="ffffff"/>
              </w:rPr>
              <w:t xml:space="preserve">（5）</w:t>
            </w:r>
            <w:r>
              <w:rPr>
                <w:rFonts w:ascii="Segoe UI" w:hAnsi="Segoe UI" w:eastAsia="Segoe UI" w:cs="Segoe UI"/>
                <w:color w:val="auto"/>
                <w:szCs w:val="21"/>
                <w:highlight w:val="none"/>
                <w:shd w:val="clear" w:color="auto" w:fill="ffffff"/>
              </w:rPr>
              <w:t xml:space="preserve">实施方案内容存在重大缺失（如缺少评分项中任一核心部分），或方案完全不符合项目实际，不具备可执行性，或未提供实施方案</w:t>
            </w:r>
            <w:r>
              <w:rPr>
                <w:rFonts w:hint="eastAsia" w:ascii="Segoe UI" w:hAnsi="Segoe UI" w:cs="Segoe UI"/>
                <w:color w:val="auto"/>
                <w:szCs w:val="21"/>
                <w:highlight w:val="none"/>
                <w:shd w:val="clear" w:color="auto" w:fill="ffffff"/>
              </w:rPr>
              <w:t xml:space="preserve">的不得分。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r>
      <w:tr>
        <w:trPr>
          <w:jc w:val="center"/>
          <w:trHeight w:val="20"/>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培训方案</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满足招标文件的培训要求（包括但不限于（1）培训人员配置、（2）培训内容、（3）培训策略）的基础上，根据投标人提供的培训方案进行打分。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（1）培训计划完整、阶段清晰、逻辑性强，与项目进度无缝衔接；明确了培训</w:t>
            </w:r>
            <w:r>
              <w:rPr>
                <w:rFonts w:hint="eastAsia" w:asciiTheme="minorEastAsia" w:hAnsiTheme="minorEastAsia" w:eastAsiaTheme="minorEastAsia" w:cstheme="minorEastAsia"/>
                <w:color w:val="auto"/>
                <w:szCs w:val="21"/>
                <w:highlight w:val="none"/>
              </w:rPr>
              <w:t xml:space="preserve">前、中、后期的具体任务和时间节点；配有专职的培训管理和后勤支持人员；提供了全方位的保障方案，包括高质量的培训材料、完备的设施设备清单、可靠的应急预案以及有效的技术支持渠道；课程体系设计系统、深入，内容完全针对本项目所涉及的技术、流程和管理特点；理论与实践课时分配科学，重点突出；建立了完善的、多层次的考核机制；制定了严格、可追溯的考勤制度，明确了签到方式、请假流程和纪律要求，并与最终培训效果挂钩；实操环节设计具体、可行，有明确的实训环境搭建方案、详细的实操指导手册，并能保证学员有充足的动手练习时间的，得3分；</w:t>
            </w:r>
            <w:r/>
          </w:p>
          <w:p>
            <w:pPr>
              <w:spacing w:line="360"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（2）培训计划较为完整，阶段划分基本合理，能够满足项目培训的基本时间要求</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师资配置基本满足要求</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列出了主要的保障措施，如教材、设备等，但细节不够丰富，或缺乏应急预案等次要环节</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课程内容覆盖了招标文件的主要要求，具有一定的针对性，但深度和系统性一般。提出了考核方式（如笔试或实操），有基本的合格标准，但考核体系较为单一，缺乏多维度评估</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有基本的考勤管理规定，如每日签到，但流程描述较为简单。安排了实操环节，并说明了主要内容，但具体操作流程和保障措施描述不够深入</w:t>
            </w:r>
            <w:r>
              <w:rPr>
                <w:rFonts w:hint="eastAsia" w:asciiTheme="minorEastAsia" w:hAnsiTheme="minorEastAsia" w:eastAsiaTheme="minorEastAsia" w:cstheme="minorEastAsia"/>
                <w:color w:val="auto"/>
                <w:szCs w:val="21"/>
                <w:highlight w:val="none"/>
              </w:rPr>
              <w:t xml:space="preserve">的，得2分；</w:t>
            </w:r>
            <w:r/>
          </w:p>
          <w:p>
            <w:pPr>
              <w:spacing w:line="360"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（3）培训有初步的计划和时间安排，但逻辑性不强，或与项目进度的关联度不高</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仅简单提及讲师安排，但人员资质、分工描述模糊，支撑力度不足</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仅笼统提及会提供必要保障，缺乏具体内容和实施细节</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课程列表较为笼统，多为通用性内容，未能有效体现本项目的需求</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提到需要进行考核，但未明确考核形式、内容或标准</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仅提及会进行考勤，无具体制度描述</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提到包含实操，但内容、时长和方法均描述不清</w:t>
            </w:r>
            <w:r>
              <w:rPr>
                <w:rFonts w:hint="eastAsia" w:asciiTheme="minorEastAsia" w:hAnsiTheme="minorEastAsia" w:eastAsiaTheme="minorEastAsia" w:cstheme="minorEastAsia"/>
                <w:color w:val="auto"/>
                <w:szCs w:val="21"/>
                <w:highlight w:val="none"/>
              </w:rPr>
              <w:t xml:space="preserve">的，得1分；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（4）培训计划与项目周期冲突；课程内容完全偏离项目需求等；描述严重欠缺；在多个核心要素上缺失或仅有标题式描述，无法判断如何实施；未提供培训方案的不得分。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r>
      <w:tr>
        <w:trPr>
          <w:jc w:val="center"/>
          <w:trHeight w:val="20"/>
        </w:trPr>
        <w:tc>
          <w:tcPr>
            <w:tcBorders>
              <w:left w:val="single" w:color="auto" w:sz="4" w:space="0"/>
              <w:right w:val="single" w:color="auto" w:sz="4" w:space="0"/>
            </w:tcBorders>
            <w:tcW w:w="554" w:type="pct"/>
            <w:vAlign w:val="center"/>
            <w:vMerge w:val="continue"/>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售后服务方案</w:t>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满足招标文件要求的基础上，后续维护及售后服务方案、应急维修响应方案（包括人员配置等），根据投标人提供的售后服务方案进行打分。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（1）提供完善的服</w:t>
            </w:r>
            <w:r>
              <w:rPr>
                <w:rFonts w:hint="eastAsia" w:asciiTheme="minorEastAsia" w:hAnsiTheme="minorEastAsia" w:eastAsiaTheme="minorEastAsia" w:cstheme="minorEastAsia"/>
                <w:color w:val="auto"/>
                <w:szCs w:val="21"/>
                <w:highlight w:val="none"/>
              </w:rPr>
              <w:t xml:space="preserve">务流程（如：报修-&gt;接单-&gt;派工-&gt;处理-&gt;反馈-&gt;回访）闭环管理，描述清晰；配备了专职、专业的售后服务团队，人员数量充足、分工明确。提供了核心服务人员的名单；有系统的、定期的培训计划，确保技术人员知识更新。针对可能发生的故障（如：硬件损坏、系统崩溃、数据丢失等）有分级预案（如：一般、严重、紧急）。针对不同级别的故障，明确了具体的响应时间、处理流程和升级上报机制。方案与招标项目的具体设备、系统或场景紧密结合，具有极强的针对性。明确承诺设立备件库，说明了备件库的地点、库存种类和数量，能保障快速更换的，得3分；</w:t>
            </w:r>
            <w:r/>
          </w:p>
          <w:p>
            <w:pPr>
              <w:spacing w:line="360" w:lineRule="auto"/>
              <w:rPr>
                <w:rFonts w:hint="eastAsia"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 xml:space="preserve">（2）服务流程描述完整，逻辑清晰，但细节略显不足</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配备了售后服务人员，分工基本合理</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提及了人员，但未提供详细的证明材料</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有培训意识，但计划不够具体</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有基本的应急响应流程和故障分级概念。响应措施描述较为详细，但与项目具体特点的结合度一般</w:t>
            </w:r>
            <w:r>
              <w:rPr>
                <w:rFonts w:hint="eastAsia" w:asciiTheme="minorEastAsia" w:hAnsiTheme="minorEastAsia" w:eastAsiaTheme="minorEastAsia" w:cstheme="minorEastAsia"/>
                <w:color w:val="auto"/>
                <w:szCs w:val="21"/>
                <w:highlight w:val="none"/>
              </w:rPr>
              <w:t xml:space="preserve">；</w:t>
            </w:r>
            <w:r>
              <w:rPr>
                <w:rFonts w:asciiTheme="minorEastAsia" w:hAnsiTheme="minorEastAsia" w:eastAsiaTheme="minorEastAsia" w:cstheme="minorEastAsia"/>
                <w:color w:val="auto"/>
                <w:szCs w:val="21"/>
                <w:highlight w:val="none"/>
              </w:rPr>
              <w:t xml:space="preserve">提及了备件支持，但未详细说明备件库的具体情况</w:t>
            </w:r>
            <w:r>
              <w:rPr>
                <w:rFonts w:hint="eastAsia" w:asciiTheme="minorEastAsia" w:hAnsiTheme="minorEastAsia" w:eastAsiaTheme="minorEastAsia" w:cstheme="minorEastAsia"/>
                <w:color w:val="auto"/>
                <w:szCs w:val="21"/>
                <w:highlight w:val="none"/>
              </w:rPr>
              <w:t xml:space="preserve">的，得2分；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3）售后服务仅提供了框架性的服务承诺，如“及时响应”、“尽快解决”，缺乏具体量化的时间指标；服务流程描述简单、笼统，只有几个关键节点；仅说明“有相关人员”，未明确是否为专职、人员数量及具体分工；仅简单提及“出现问题会处理”，没有系统的应急流程；未明确提及备件供应保障措施的，得1分；</w:t>
            </w:r>
            <w:r/>
          </w:p>
          <w:p>
            <w:pPr>
              <w:spacing w:line="360" w:lineRule="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（4）未提供任何售后服务及应急响应方案；方案存在明显不合理项、描述严重欠缺，仅有一两句话，完全无法体现服务能力；方案存在重大实施难度，逻辑混乱，或与招标项目的核心需求严重脱节的不得分。</w:t>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r>
      <w:tr>
        <w:trPr>
          <w:jc w:val="center"/>
          <w:trHeight w:val="319"/>
        </w:trPr>
        <w:tc>
          <w:tcPr>
            <w:tcBorders>
              <w:top w:val="single" w:color="auto" w:sz="4" w:space="0"/>
              <w:left w:val="single" w:color="auto" w:sz="4" w:space="0"/>
              <w:bottom w:val="single" w:color="auto" w:sz="4" w:space="0"/>
              <w:right w:val="single" w:color="auto" w:sz="4" w:space="0"/>
            </w:tcBorders>
            <w:tcW w:w="554"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合计</w:t>
            </w:r>
            <w:r/>
          </w:p>
        </w:tc>
        <w:tc>
          <w:tcPr>
            <w:tcBorders>
              <w:top w:val="single" w:color="auto" w:sz="4" w:space="0"/>
              <w:left w:val="single" w:color="auto" w:sz="4" w:space="0"/>
              <w:bottom w:val="single" w:color="auto" w:sz="4" w:space="0"/>
              <w:right w:val="single" w:color="auto" w:sz="4" w:space="0"/>
            </w:tcBorders>
            <w:tcW w:w="64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480" w:type="pct"/>
            <w:vAlign w:val="center"/>
            <w:textDirection w:val="lrTb"/>
            <w:noWrap w:val="false"/>
          </w:tcPr>
          <w:p>
            <w:pP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325" w:type="pct"/>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100</w:t>
            </w:r>
            <w:r/>
          </w:p>
        </w:tc>
      </w:tr>
    </w:tbl>
    <w:p>
      <w:pPr>
        <w:rPr>
          <w:rFonts w:hint="eastAsia" w:ascii="宋体" w:hAnsi="宋体" w:cs="宋体"/>
          <w:b/>
          <w:bCs/>
          <w:color w:val="auto"/>
          <w:szCs w:val="21"/>
          <w:highlight w:val="none"/>
        </w:rPr>
      </w:pPr>
      <w:r>
        <w:rPr>
          <w:rFonts w:hint="eastAsia" w:ascii="宋体" w:hAnsi="宋体" w:cs="宋体"/>
          <w:b/>
          <w:bCs/>
          <w:color w:val="auto"/>
          <w:szCs w:val="21"/>
          <w:highlight w:val="none"/>
        </w:rPr>
      </w:r>
      <w:r/>
    </w:p>
    <w:p>
      <w:pPr>
        <w:ind w:firstLine="422"/>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本次采购执行江苏省财政厅《关于推动解决政府采购异常低价问题相关工作的通知》（苏财购〔2025〕62号）的文件要求。</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（一）评审过程中出现下列情形之一的，评审委员会应当启动异常低价投标（响应）审查程序：</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1.投标（响应）报价低于采购项目预算50%的，即投标（响 应）报价&lt;采购项目预算 ×50%；</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2.投标（响应）报价低于采购项目最高限价45% 的，即投标（响应）报价&lt;采购项目最高限价 ×45%；</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3.评审委员会认定的供应商报价过低、有可能影响产品质量或者不能诚信履约的其他情形。</w:t>
      </w:r>
      <w:r/>
    </w:p>
    <w:p>
      <w:p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（二）启动异常低价投标（响应）审查后，评审委员会应当要求相关供应商在评标现场合理的时间内，提供项目具体成本测算等与报价合理性相关的书面说明及相关证明材料，对投标（响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rPr>
          <w:rFonts w:hint="eastAsia" w:ascii="宋体" w:hAnsi="宋体" w:cs="宋体"/>
          <w:b/>
          <w:bCs/>
          <w:color w:val="auto"/>
          <w:szCs w:val="21"/>
          <w:highlight w:val="none"/>
        </w:rPr>
      </w:pPr>
      <w:r>
        <w:rPr>
          <w:rFonts w:hint="eastAsia" w:ascii="宋体" w:hAnsi="宋体" w:cs="宋体"/>
          <w:b/>
          <w:bCs/>
          <w:color w:val="auto"/>
          <w:szCs w:val="21"/>
          <w:highlight w:val="none"/>
        </w:rPr>
        <w:br w:type="page" w:clear="all"/>
      </w:r>
      <w:r/>
    </w:p>
    <w:p>
      <w:pPr>
        <w:pStyle w:val="680"/>
        <w:numPr>
          <w:ilvl w:val="0"/>
          <w:numId w:val="0"/>
        </w:numPr>
        <w:ind w:left="392"/>
        <w:rPr>
          <w:color w:val="auto"/>
          <w:highlight w:val="none"/>
        </w:rPr>
      </w:pPr>
      <w:r/>
      <w:bookmarkStart w:id="68" w:name="_Toc18779"/>
      <w:r>
        <w:rPr>
          <w:rFonts w:hint="eastAsia"/>
          <w:color w:val="auto"/>
          <w:highlight w:val="none"/>
        </w:rPr>
        <w:t xml:space="preserve">第六章 投标文件格式</w:t>
      </w:r>
      <w:bookmarkEnd w:id="68"/>
      <w:r>
        <w:rPr>
          <w:rFonts w:hint="eastAsia"/>
          <w:color w:val="auto"/>
          <w:highlight w:val="none"/>
        </w:rPr>
        <w:t xml:space="preserve"> </w:t>
      </w:r>
      <w:r/>
    </w:p>
    <w:p>
      <w:pPr>
        <w:rPr>
          <w:rFonts w:hint="eastAsia" w:ascii="宋体" w:hAnsi="宋体" w:cs="宋体"/>
          <w:bCs/>
          <w:color w:val="auto"/>
          <w:sz w:val="44"/>
          <w:highlight w:val="none"/>
        </w:rPr>
      </w:pPr>
      <w:r>
        <w:rPr>
          <w:rFonts w:hint="eastAsia" w:ascii="宋体" w:hAnsi="宋体" w:cs="宋体"/>
          <w:bCs/>
          <w:color w:val="auto"/>
          <w:sz w:val="44"/>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t xml:space="preserve">投  标  文  件</w:t>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72"/>
          <w:highlight w:val="none"/>
        </w:rPr>
      </w:pPr>
      <w:r>
        <w:rPr>
          <w:rFonts w:hint="eastAsia" w:ascii="宋体" w:hAnsi="宋体" w:cs="宋体"/>
          <w:b/>
          <w:color w:val="auto"/>
          <w:sz w:val="72"/>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招 标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投标人名称 ：</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日      期 ：</w:t>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投  标  人：（电子签章）</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sz w:val="32"/>
          <w:szCs w:val="32"/>
          <w:highlight w:val="none"/>
        </w:rPr>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投标主要文件目录</w:t>
      </w:r>
      <w:r/>
    </w:p>
    <w:p>
      <w:pPr>
        <w:jc w:val="center"/>
        <w:spacing w:line="44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一、资格审查响应对照表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二、符合性审查响应对照表</w:t>
      </w:r>
      <w:r/>
    </w:p>
    <w:p>
      <w:pPr>
        <w:ind w:left="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三、非实质性响应对照表</w:t>
      </w:r>
      <w:r/>
    </w:p>
    <w:p>
      <w:pPr>
        <w:ind w:firstLine="480"/>
        <w:spacing w:line="360" w:lineRule="auto"/>
        <w:rPr>
          <w:rFonts w:hint="eastAsia" w:ascii="宋体" w:hAnsi="宋体" w:cs="宋体"/>
          <w:b/>
          <w:bCs/>
          <w:color w:val="auto"/>
          <w:sz w:val="24"/>
          <w:highlight w:val="none"/>
        </w:rPr>
      </w:pPr>
      <w:r>
        <w:rPr>
          <w:rFonts w:hint="eastAsia" w:ascii="宋体" w:hAnsi="宋体" w:cs="宋体"/>
          <w:color w:val="auto"/>
          <w:sz w:val="24"/>
          <w:highlight w:val="none"/>
        </w:rPr>
        <w:t xml:space="preserve">四</w:t>
      </w:r>
      <w:r>
        <w:rPr>
          <w:rFonts w:hint="eastAsia" w:ascii="宋体" w:hAnsi="宋体" w:cs="宋体"/>
          <w:b/>
          <w:bCs/>
          <w:color w:val="auto"/>
          <w:sz w:val="24"/>
          <w:highlight w:val="none"/>
        </w:rPr>
        <w:t xml:space="preserve">、</w:t>
      </w:r>
      <w:r>
        <w:rPr>
          <w:rFonts w:hint="eastAsia" w:ascii="宋体" w:hAnsi="宋体" w:cs="宋体"/>
          <w:i/>
          <w:color w:val="auto"/>
          <w:sz w:val="24"/>
          <w:highlight w:val="none"/>
          <w:u w:val="single"/>
        </w:rPr>
        <w:t xml:space="preserve">开标一览表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五、投标配置与分项报价表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六</w:t>
      </w:r>
      <w:r>
        <w:rPr>
          <w:rFonts w:hint="eastAsia" w:ascii="宋体" w:hAnsi="宋体" w:cs="宋体"/>
          <w:color w:val="auto"/>
          <w:sz w:val="24"/>
          <w:szCs w:val="24"/>
          <w:highlight w:val="none"/>
        </w:rPr>
        <w:t xml:space="preserve">、技术参数响应及偏离表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七、商务条款响应及偏离表</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八、拟投入人员一览表</w:t>
      </w:r>
      <w:r/>
    </w:p>
    <w:p>
      <w:pPr>
        <w:ind w:firstLine="480"/>
        <w:spacing w:line="360" w:lineRule="auto"/>
        <w:rPr>
          <w:rFonts w:hint="eastAsia" w:ascii="宋体" w:hAnsi="宋体" w:cs="宋体"/>
          <w:color w:val="auto"/>
          <w:sz w:val="36"/>
          <w:szCs w:val="36"/>
          <w:highlight w:val="none"/>
        </w:rPr>
      </w:pPr>
      <w:r>
        <w:rPr>
          <w:rFonts w:hint="eastAsia" w:ascii="宋体" w:hAnsi="宋体" w:cs="宋体"/>
          <w:color w:val="auto"/>
          <w:sz w:val="24"/>
          <w:highlight w:val="none"/>
        </w:rPr>
        <w:t xml:space="preserve">九、其他 （投标人认为有必要提供的声明和文件，如有自拟并自行添加）</w:t>
      </w:r>
      <w:r/>
    </w:p>
    <w:p>
      <w:pPr>
        <w:contextualSpacing/>
        <w:jc w:val="center"/>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jc w:val="center"/>
        <w:spacing w:line="600" w:lineRule="exact"/>
        <w:rPr>
          <w:rFonts w:hint="eastAsia" w:ascii="宋体" w:hAnsi="宋体" w:cs="宋体"/>
          <w:b/>
          <w:color w:val="auto"/>
          <w:sz w:val="72"/>
          <w:highlight w:val="none"/>
        </w:rPr>
      </w:pPr>
      <w:r>
        <w:rPr>
          <w:rFonts w:hint="eastAsia" w:ascii="宋体" w:hAnsi="宋体" w:cs="宋体"/>
          <w:b/>
          <w:color w:val="auto"/>
          <w:sz w:val="72"/>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916"/>
        <w:rPr>
          <w:rFonts w:hint="eastAsia" w:ascii="宋体" w:hAnsi="宋体" w:eastAsia="宋体" w:cs="宋体"/>
          <w:b w:val="0"/>
          <w:color w:val="auto"/>
          <w:sz w:val="32"/>
          <w:szCs w:val="32"/>
          <w:highlight w:val="none"/>
        </w:rPr>
      </w:pPr>
      <w:r>
        <w:rPr>
          <w:rFonts w:hint="eastAsia" w:ascii="宋体" w:hAnsi="宋体" w:eastAsia="宋体" w:cs="宋体"/>
          <w:color w:val="auto"/>
          <w:sz w:val="32"/>
          <w:szCs w:val="32"/>
          <w:highlight w:val="none"/>
        </w:rPr>
        <w:br w:type="page" w:clear="all"/>
      </w:r>
      <w:bookmarkStart w:id="69" w:name="_Toc20369"/>
      <w:r/>
      <w:bookmarkStart w:id="70" w:name="_Toc5792"/>
      <w:r/>
      <w:bookmarkStart w:id="71" w:name="_Toc7268"/>
      <w:r>
        <w:rPr>
          <w:rFonts w:hint="eastAsia" w:ascii="宋体" w:hAnsi="宋体" w:eastAsia="宋体" w:cs="宋体"/>
          <w:color w:val="auto"/>
          <w:sz w:val="32"/>
          <w:highlight w:val="none"/>
        </w:rPr>
        <w:t xml:space="preserve">一、资格审查响应对照表</w:t>
      </w:r>
      <w:bookmarkEnd w:id="69"/>
      <w:r/>
      <w:bookmarkEnd w:id="70"/>
      <w:r/>
      <w:bookmarkEnd w:id="71"/>
      <w:r/>
      <w:r/>
    </w:p>
    <w:tbl>
      <w:tblPr>
        <w:tblStyle w:val="69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7"/>
        <w:gridCol w:w="6062"/>
        <w:gridCol w:w="2030"/>
      </w:tblGrid>
      <w:tr>
        <w:trPr>
          <w:trHeight w:val="647"/>
        </w:trPr>
        <w:tc>
          <w:tcPr>
            <w:tcW w:w="427"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6062"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资格审查响应内容</w:t>
            </w:r>
            <w:r/>
          </w:p>
        </w:tc>
        <w:tc>
          <w:tcPr>
            <w:tcW w:w="2030" w:type="dxa"/>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r>
      <w:tr>
        <w:trPr>
          <w:trHeight w:val="335"/>
        </w:trPr>
        <w:tc>
          <w:tcPr>
            <w:gridSpan w:val="3"/>
            <w:tcW w:w="8519" w:type="dxa"/>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t xml:space="preserve">通用资格条件</w:t>
            </w:r>
            <w:r/>
          </w:p>
        </w:tc>
      </w:tr>
      <w:tr>
        <w:trPr>
          <w:trHeight w:val="761"/>
        </w:trPr>
        <w:tc>
          <w:tcPr>
            <w:tcW w:w="427" w:type="dxa"/>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1</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法人或者其他组织的营业执照等证明文件，自然人的身份证明</w:t>
            </w:r>
            <w:r/>
          </w:p>
        </w:tc>
        <w:tc>
          <w:tcPr>
            <w:tcW w:w="2030" w:type="dxa"/>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上一年度的财务报告情况（成立不满一年无需提供）</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新成立企业距投标截止日不足30日的，可不提供，以新办企业营业执照发放日期为准)；</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具备履行合同所必需的设备和专业技术能力的书面声明；</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参加政府采购活动前3年内在经营活动中没有重大违法记录的书面声明；</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6062" w:type="dxa"/>
            <w:vAlign w:val="center"/>
            <w:textDirection w:val="lrTb"/>
            <w:noWrap w:val="false"/>
          </w:tcPr>
          <w:p>
            <w:pPr>
              <w:spacing w:line="360" w:lineRule="auto"/>
              <w:rPr>
                <w:rFonts w:hint="eastAsia" w:ascii="宋体" w:hAnsi="宋体" w:cs="宋体"/>
                <w:iCs/>
                <w:color w:val="auto"/>
                <w:szCs w:val="21"/>
                <w:highlight w:val="none"/>
              </w:rPr>
            </w:pPr>
            <w:r>
              <w:rPr>
                <w:rFonts w:hint="eastAsia" w:ascii="宋体" w:hAnsi="宋体" w:cs="宋体"/>
                <w:iCs/>
                <w:color w:val="auto"/>
                <w:szCs w:val="21"/>
                <w:highlight w:val="none"/>
              </w:rPr>
              <w:t xml:space="preserve">供应商信用承诺函；</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6062"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1"/>
        </w:trPr>
        <w:tc>
          <w:tcPr>
            <w:gridSpan w:val="3"/>
            <w:tcW w:w="85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落实政府采购政策需满足的资格要求：</w:t>
            </w:r>
            <w:r>
              <w:rPr>
                <w:rFonts w:hint="eastAsia" w:ascii="宋体" w:hAnsi="宋体" w:cs="宋体"/>
                <w:color w:val="auto"/>
                <w:szCs w:val="21"/>
                <w:highlight w:val="none"/>
              </w:rPr>
              <w:t xml:space="preserve">无</w:t>
            </w:r>
            <w:r/>
          </w:p>
        </w:tc>
      </w:tr>
      <w:tr>
        <w:trPr>
          <w:trHeight w:val="400"/>
        </w:trPr>
        <w:tc>
          <w:tcPr>
            <w:gridSpan w:val="3"/>
            <w:tcW w:w="8519" w:type="dxa"/>
            <w:vAlign w:val="center"/>
            <w:textDirection w:val="lrTb"/>
            <w:noWrap w:val="false"/>
          </w:tcPr>
          <w:p>
            <w:pPr>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特定资格条件：</w:t>
            </w:r>
            <w:r>
              <w:rPr>
                <w:rFonts w:hint="eastAsia" w:ascii="宋体" w:hAnsi="宋体" w:cs="宋体"/>
                <w:bCs/>
                <w:color w:val="auto"/>
                <w:szCs w:val="21"/>
                <w:highlight w:val="none"/>
              </w:rPr>
              <w:t xml:space="preserve">无</w:t>
            </w:r>
            <w:r/>
          </w:p>
        </w:tc>
      </w:tr>
      <w:tr>
        <w:trPr>
          <w:trHeight w:val="400"/>
        </w:trPr>
        <w:tc>
          <w:tcPr>
            <w:gridSpan w:val="3"/>
            <w:tcW w:w="8519" w:type="dxa"/>
            <w:vAlign w:val="center"/>
            <w:textDirection w:val="lrTb"/>
            <w:noWrap w:val="false"/>
          </w:tcPr>
          <w:p>
            <w:pPr>
              <w:rPr>
                <w:rFonts w:hint="eastAsia" w:ascii="宋体" w:hAnsi="宋体" w:cs="宋体"/>
                <w:color w:val="auto"/>
                <w:szCs w:val="21"/>
                <w:highlight w:val="none"/>
              </w:rPr>
            </w:pPr>
            <w:r>
              <w:rPr>
                <w:rFonts w:hint="eastAsia" w:ascii="宋体" w:hAnsi="宋体" w:cs="宋体"/>
                <w:b/>
                <w:color w:val="auto"/>
                <w:szCs w:val="21"/>
                <w:highlight w:val="none"/>
              </w:rPr>
              <w:t xml:space="preserve">其他资格条件</w:t>
            </w:r>
            <w:r/>
          </w:p>
        </w:tc>
      </w:tr>
      <w:tr>
        <w:trPr>
          <w:trHeight w:val="400"/>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6062" w:type="dxa"/>
            <w:vAlign w:val="center"/>
            <w:textDirection w:val="lrTb"/>
            <w:noWrap w:val="false"/>
          </w:tcPr>
          <w:p>
            <w:pPr>
              <w:jc w:val="left"/>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投标函</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00"/>
        </w:trPr>
        <w:tc>
          <w:tcPr>
            <w:tcW w:w="427"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6062" w:type="dxa"/>
            <w:vAlign w:val="center"/>
            <w:textDirection w:val="lrTb"/>
            <w:noWrap w:val="false"/>
          </w:tcPr>
          <w:p>
            <w:pPr>
              <w:jc w:val="left"/>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法人授权书</w:t>
            </w:r>
            <w:r/>
          </w:p>
        </w:tc>
        <w:tc>
          <w:tcPr>
            <w:tcW w:w="2030" w:type="dxa"/>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ind w:firstLine="1476"/>
        <w:spacing w:before="156" w:after="156" w:line="360" w:lineRule="auto"/>
        <w:rPr>
          <w:rFonts w:hint="eastAsia" w:ascii="宋体" w:hAnsi="宋体" w:cs="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bCs/>
          <w:color w:val="auto"/>
          <w:highlight w:val="none"/>
        </w:rPr>
      </w:r>
      <w:r/>
    </w:p>
    <w:p>
      <w:pPr>
        <w:ind w:firstLine="1476"/>
        <w:spacing w:before="156" w:after="156" w:line="360" w:lineRule="auto"/>
        <w:rPr>
          <w:rFonts w:hint="eastAsia" w:ascii="宋体" w:hAnsi="宋体" w:cs="宋体"/>
          <w:b/>
          <w:bCs/>
          <w:color w:val="auto"/>
          <w:highlight w:val="none"/>
        </w:rPr>
      </w:pPr>
      <w:r>
        <w:rPr>
          <w:rFonts w:hint="eastAsia" w:ascii="宋体" w:hAnsi="宋体" w:cs="宋体"/>
          <w:b/>
          <w:bCs/>
          <w:color w:val="auto"/>
          <w:highlight w:val="none"/>
        </w:rPr>
        <w:t xml:space="preserve">具备履行合同所必需的设备和专业技术能力的书面声明</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主要设备有：。</w:t>
      </w:r>
      <w:r/>
    </w:p>
    <w:p>
      <w:pPr>
        <w:ind w:firstLine="492"/>
        <w:spacing w:line="460" w:lineRule="exact"/>
        <w:rPr>
          <w:rFonts w:hint="eastAsia" w:ascii="宋体" w:hAnsi="宋体" w:cs="宋体"/>
          <w:bCs/>
          <w:color w:val="auto"/>
          <w:szCs w:val="21"/>
          <w:highlight w:val="none"/>
        </w:rPr>
      </w:pPr>
      <w:r>
        <w:rPr>
          <w:rFonts w:hint="eastAsia" w:ascii="宋体" w:hAnsi="宋体" w:cs="宋体"/>
          <w:bCs/>
          <w:color w:val="auto"/>
          <w:szCs w:val="21"/>
          <w:highlight w:val="none"/>
        </w:rPr>
        <w:t xml:space="preserve">主要专业技术能力有：。</w:t>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contextualSpacing/>
        <w:spacing w:line="6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b/>
          <w:color w:val="auto"/>
          <w:sz w:val="36"/>
          <w:highlight w:val="none"/>
        </w:rPr>
      </w:pPr>
      <w:r>
        <w:rPr>
          <w:rFonts w:hint="eastAsia" w:ascii="宋体" w:hAnsi="宋体" w:cs="宋体"/>
          <w:b/>
          <w:color w:val="auto"/>
          <w:sz w:val="36"/>
          <w:highlight w:val="none"/>
        </w:rPr>
        <w:br w:type="page" w:clear="all"/>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after="312" w:line="360" w:lineRule="auto"/>
        <w:rPr>
          <w:rFonts w:hint="eastAsia" w:ascii="宋体" w:hAnsi="宋体" w:cs="宋体"/>
          <w:b/>
          <w:bCs/>
          <w:color w:val="auto"/>
          <w:highlight w:val="none"/>
        </w:rPr>
      </w:pPr>
      <w:r>
        <w:rPr>
          <w:rFonts w:hint="eastAsia" w:ascii="宋体" w:hAnsi="宋体" w:cs="宋体"/>
          <w:b/>
          <w:bCs/>
          <w:color w:val="auto"/>
          <w:highlight w:val="none"/>
        </w:rPr>
        <w:t xml:space="preserve">声  明</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供应商名称（公章）：</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法定代表人签章：</w:t>
      </w:r>
      <w:r>
        <w:rPr>
          <w:rFonts w:hint="eastAsia" w:ascii="宋体" w:hAnsi="宋体" w:cs="宋体"/>
          <w:bCs/>
          <w:color w:val="auto"/>
          <w:highlight w:val="none"/>
          <w:u w:val="single"/>
        </w:rPr>
        <w:t xml:space="preserve">_______________________</w:t>
      </w:r>
      <w:r/>
    </w:p>
    <w:p>
      <w:pPr>
        <w:spacing w:line="360" w:lineRule="auto"/>
        <w:rPr>
          <w:rFonts w:hint="eastAsia" w:ascii="宋体" w:hAnsi="宋体" w:cs="宋体"/>
          <w:bCs/>
          <w:color w:val="auto"/>
          <w:highlight w:val="none"/>
        </w:rPr>
      </w:pPr>
      <w:r>
        <w:rPr>
          <w:rFonts w:hint="eastAsia" w:ascii="宋体" w:hAnsi="宋体" w:cs="宋体"/>
          <w:bCs/>
          <w:color w:val="auto"/>
          <w:highlight w:val="none"/>
        </w:rPr>
        <w:t xml:space="preserve">                               日期：  年  月  日</w:t>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center"/>
        <w:spacing w:line="500" w:lineRule="exact"/>
        <w:rPr>
          <w:rFonts w:hint="eastAsia" w:ascii="宋体" w:hAnsi="宋体" w:cs="宋体"/>
          <w:b/>
          <w:color w:val="auto"/>
          <w:szCs w:val="21"/>
          <w:highlight w:val="none"/>
        </w:rPr>
      </w:pPr>
      <w:r>
        <w:rPr>
          <w:rFonts w:hint="eastAsia" w:ascii="宋体" w:hAnsi="宋体" w:cs="宋体"/>
          <w:b/>
          <w:bCs/>
          <w:color w:val="auto"/>
          <w:highlight w:val="none"/>
        </w:rPr>
        <w:br w:type="page" w:clear="all"/>
      </w:r>
      <w:r>
        <w:rPr>
          <w:rFonts w:hint="eastAsia" w:ascii="宋体" w:hAnsi="宋体" w:cs="宋体"/>
          <w:b/>
          <w:color w:val="auto"/>
          <w:szCs w:val="21"/>
          <w:highlight w:val="none"/>
        </w:rPr>
        <w:t xml:space="preserve">供应商信用承诺书</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承诺主体名称：</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统一社会信用代码：</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四、自觉接受行政管理部门、行业组织、社会公众、新闻舆论的监督；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七、严格遵守信用信息公示相关规定，向社会公示信用信息；</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八、在“信用中国”和“中国政府采购网”网站中无违法违规、较重或严重失信记录；</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十、本承诺书自签订之日起生效。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（注：法定代表人或负责人、主体名称发生变更的应当重新做出承诺。）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承诺单位（签章）：           </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法定代表人（负责人）：</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年    月    日</w:t>
      </w:r>
      <w:r/>
    </w:p>
    <w:p>
      <w:pPr>
        <w:jc w:val="center"/>
        <w:spacing w:line="50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spacing w:line="560" w:lineRule="exact"/>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投标函格式</w:t>
      </w:r>
      <w:r/>
    </w:p>
    <w:p>
      <w:pPr>
        <w:pStyle w:val="947"/>
        <w:ind w:firstLine="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int="eastAsia" w:ascii="宋体" w:hAnsi="宋体" w:cs="宋体"/>
          <w:color w:val="auto"/>
          <w:sz w:val="21"/>
          <w:highlight w:val="none"/>
        </w:rPr>
        <w:t xml:space="preserve">江苏苏维工程管理有限公司</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根据贵方的（    ）号招标文件，正式授权下述签字人_________________(姓名)代表我方______________（投标人的名称），全权处理本次项目投标的有关事宜。</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据此函，__________签字人（姓名）兹宣布同意如下：</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1.按招标文件规定的各项要求，向买方提供所需货物与服务。</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2.我们完全理解贵方不一定将合同授予最低报价的投标人。</w:t>
      </w:r>
      <w:r/>
    </w:p>
    <w:p>
      <w:pPr>
        <w:pStyle w:val="947"/>
        <w:ind w:firstLine="420"/>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3.我们已详细审核全部招标文件及其有效补充文件，我们知道必须放弃提出含糊不清或误解问题的权利。</w:t>
      </w:r>
      <w:r/>
    </w:p>
    <w:p>
      <w:pPr>
        <w:pStyle w:val="94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4.我们同意从规定的开标日期起遵循本投标文件，并在规定的投标有效期期满之前均具有约束力。</w:t>
      </w:r>
      <w:r/>
    </w:p>
    <w:p>
      <w:pPr>
        <w:pStyle w:val="94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47"/>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47"/>
        <w:ind w:left="425" w:firstLine="105"/>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7.与本投标有关的正式通讯地址为：</w:t>
      </w:r>
      <w:r/>
    </w:p>
    <w:p>
      <w:pPr>
        <w:pStyle w:val="94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p>
    <w:p>
      <w:pPr>
        <w:pStyle w:val="94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编：</w:t>
      </w:r>
      <w:r/>
    </w:p>
    <w:p>
      <w:pPr>
        <w:pStyle w:val="94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 </w:t>
      </w:r>
      <w:r/>
    </w:p>
    <w:p>
      <w:pPr>
        <w:pStyle w:val="94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 </w:t>
      </w:r>
      <w:r/>
    </w:p>
    <w:p>
      <w:pPr>
        <w:pStyle w:val="94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投标人开户行：</w:t>
      </w:r>
      <w:r/>
    </w:p>
    <w:p>
      <w:pPr>
        <w:pStyle w:val="94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户： </w:t>
      </w:r>
      <w:r/>
    </w:p>
    <w:p>
      <w:pPr>
        <w:pStyle w:val="94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行 号：</w:t>
      </w:r>
      <w:r/>
    </w:p>
    <w:p>
      <w:pPr>
        <w:pStyle w:val="947"/>
        <w:ind w:firstLine="478"/>
        <w:spacing w:before="0" w:after="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 期：________年____月____日</w:t>
      </w:r>
      <w:r/>
    </w:p>
    <w:p>
      <w:pPr>
        <w:contextualSpacing/>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rPr>
          <w:rFonts w:hint="eastAsia" w:ascii="宋体" w:hAnsi="宋体" w:cs="宋体"/>
          <w:b/>
          <w:color w:val="auto"/>
          <w:szCs w:val="21"/>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Cs w:val="21"/>
          <w:highlight w:val="none"/>
        </w:rPr>
        <w:t xml:space="preserve">法人授权书</w:t>
      </w:r>
      <w:r/>
    </w:p>
    <w:p>
      <w:pPr>
        <w:pStyle w:val="94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4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本授权书声明：________________（投标人名称）授权________________（被授权人的姓名）为我方就（项目编号）（项目名称）项目采购活动的合法代理人，以本公司名义全权处理一切与该项目采购有关的事务。</w:t>
      </w:r>
      <w:r/>
    </w:p>
    <w:p>
      <w:pPr>
        <w:pStyle w:val="94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本授权书于______年____月____日起生效，特此声明。</w:t>
      </w:r>
      <w:r/>
    </w:p>
    <w:p>
      <w:pPr>
        <w:pStyle w:val="948"/>
        <w:ind w:firstLine="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4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被授权人姓名： </w:t>
      </w:r>
      <w:r/>
    </w:p>
    <w:p>
      <w:pPr>
        <w:pStyle w:val="94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联系电话（手机）：</w:t>
      </w:r>
      <w:r/>
    </w:p>
    <w:p>
      <w:pPr>
        <w:pStyle w:val="94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单位名称： </w:t>
      </w:r>
      <w:r/>
    </w:p>
    <w:p>
      <w:pPr>
        <w:pStyle w:val="948"/>
        <w:ind w:firstLine="420"/>
        <w:spacing w:line="360" w:lineRule="auto"/>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单位地址：</w:t>
      </w:r>
      <w:r/>
    </w:p>
    <w:p>
      <w:pPr>
        <w:pStyle w:val="948"/>
        <w:ind w:firstLine="42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w:t>
      </w:r>
      <w:r/>
    </w:p>
    <w:p>
      <w:pPr>
        <w:spacing w:line="460" w:lineRule="exact"/>
        <w:rPr>
          <w:rFonts w:hint="eastAsia" w:ascii="宋体" w:hAnsi="宋体" w:cs="宋体"/>
          <w:bCs/>
          <w:color w:val="auto"/>
          <w:highlight w:val="none"/>
        </w:rPr>
      </w:pPr>
      <w:r>
        <w:rPr>
          <w:rFonts w:hint="eastAsia" w:ascii="宋体" w:hAnsi="宋体" w:cs="宋体"/>
          <w:bCs/>
          <w:color w:val="auto"/>
          <w:highlight w:val="none"/>
        </w:rPr>
      </w:r>
      <w:r/>
    </w:p>
    <w:p>
      <w:pPr>
        <w:pStyle w:val="696"/>
        <w:ind w:firstLine="420"/>
        <w:rPr>
          <w:color w:val="auto"/>
          <w:highlight w:val="none"/>
        </w:rPr>
      </w:pPr>
      <w:r>
        <w:rPr>
          <w:rFonts w:hint="eastAsia"/>
          <w:color w:val="auto"/>
          <w:highlight w:val="none"/>
        </w:rPr>
        <w:t xml:space="preserve">法定代表人身份证：</w:t>
      </w:r>
      <w:r/>
    </w:p>
    <w:p>
      <w:pPr>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ind w:firstLine="420"/>
        <w:spacing w:line="460" w:lineRule="exact"/>
        <w:rPr>
          <w:rFonts w:hint="eastAsia" w:ascii="宋体" w:hAnsi="宋体" w:cs="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Cs/>
          <w:color w:val="auto"/>
          <w:highlight w:val="none"/>
        </w:rPr>
        <w:t xml:space="preserve">被授权人身份证复印件</w:t>
      </w:r>
      <w:r/>
    </w:p>
    <w:p>
      <w:pPr>
        <w:pStyle w:val="916"/>
        <w:rPr>
          <w:rFonts w:hint="eastAsia" w:ascii="宋体" w:hAnsi="宋体" w:eastAsia="宋体" w:cs="宋体"/>
          <w:color w:val="auto"/>
          <w:sz w:val="32"/>
          <w:highlight w:val="none"/>
        </w:rPr>
      </w:pPr>
      <w:r/>
      <w:bookmarkStart w:id="72" w:name="_Toc9345"/>
      <w:r/>
      <w:bookmarkStart w:id="73" w:name="_Toc20616"/>
      <w:r/>
      <w:bookmarkStart w:id="74" w:name="_Toc16911"/>
      <w:r>
        <w:rPr>
          <w:rFonts w:hint="eastAsia" w:ascii="宋体" w:hAnsi="宋体" w:eastAsia="宋体" w:cs="宋体"/>
          <w:color w:val="auto"/>
          <w:sz w:val="32"/>
          <w:highlight w:val="none"/>
        </w:rPr>
        <w:t xml:space="preserve">二、符合性审查响应对照表</w:t>
      </w:r>
      <w:bookmarkEnd w:id="72"/>
      <w:r/>
      <w:bookmarkEnd w:id="73"/>
      <w:r/>
      <w:bookmarkEnd w:id="74"/>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69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符合性审查响应内容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rPr>
                <w:rFonts w:hint="eastAsia" w:ascii="宋体" w:hAnsi="宋体" w:cs="宋体"/>
                <w:bCs/>
                <w:color w:val="auto"/>
                <w:szCs w:val="21"/>
                <w:highlight w:val="none"/>
              </w:rPr>
            </w:pPr>
            <w:r>
              <w:rPr>
                <w:rFonts w:hint="eastAsia" w:ascii="宋体" w:hAnsi="宋体" w:cs="宋体"/>
                <w:bCs/>
                <w:color w:val="auto"/>
                <w:szCs w:val="21"/>
                <w:highlight w:val="none"/>
              </w:rPr>
              <w:t xml:space="preserve">1</w:t>
            </w:r>
            <w:r/>
          </w:p>
        </w:tc>
        <w:tc>
          <w:tcPr>
            <w:tcW w:w="2999" w:type="pct"/>
            <w:vAlign w:val="center"/>
            <w:textDirection w:val="lrTb"/>
            <w:noWrap w:val="false"/>
          </w:tcPr>
          <w:p>
            <w:pPr>
              <w:spacing w:line="0" w:lineRule="atLeast"/>
              <w:rPr>
                <w:rFonts w:hint="eastAsia" w:ascii="宋体" w:hAnsi="宋体" w:cs="宋体"/>
                <w:bCs/>
                <w:iCs/>
                <w:color w:val="auto"/>
                <w:szCs w:val="21"/>
                <w:highlight w:val="none"/>
              </w:rPr>
            </w:pPr>
            <w:r>
              <w:rPr>
                <w:rFonts w:hint="eastAsia" w:ascii="宋体" w:hAnsi="宋体" w:cs="宋体"/>
                <w:bCs/>
                <w:iCs/>
                <w:color w:val="auto"/>
                <w:szCs w:val="21"/>
                <w:highlight w:val="none"/>
              </w:rPr>
              <w:t xml:space="preserve">采购需求中必须满足的实质性要求（即加斜体下划线内容，每条详细列出）</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5"/>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417"/>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80"/>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pStyle w:val="916"/>
        <w:rPr>
          <w:rFonts w:hint="eastAsia" w:ascii="宋体" w:hAnsi="宋体" w:eastAsia="宋体" w:cs="宋体"/>
          <w:color w:val="auto"/>
          <w:sz w:val="32"/>
          <w:highlight w:val="none"/>
        </w:rPr>
      </w:pPr>
      <w:r/>
      <w:bookmarkStart w:id="75" w:name="_Toc23420"/>
      <w:r/>
      <w:bookmarkStart w:id="76" w:name="_Toc23068"/>
      <w:r/>
      <w:bookmarkStart w:id="77" w:name="_Toc29406"/>
      <w:r>
        <w:rPr>
          <w:rFonts w:hint="eastAsia" w:ascii="宋体" w:hAnsi="宋体" w:eastAsia="宋体" w:cs="宋体"/>
          <w:color w:val="auto"/>
          <w:sz w:val="32"/>
          <w:highlight w:val="none"/>
        </w:rPr>
        <w:t xml:space="preserve">三、非实质性响应对照表</w:t>
      </w:r>
      <w:bookmarkEnd w:id="75"/>
      <w:r/>
      <w:bookmarkEnd w:id="76"/>
      <w:r/>
      <w:bookmarkEnd w:id="77"/>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tbl>
      <w:tblPr>
        <w:tblStyle w:val="69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5"/>
        <w:gridCol w:w="5111"/>
        <w:gridCol w:w="1575"/>
        <w:gridCol w:w="1228"/>
      </w:tblGrid>
      <w:tr>
        <w:trPr>
          <w:trHeight w:val="882"/>
        </w:trPr>
        <w:tc>
          <w:tcPr>
            <w:tcW w:w="355"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2999"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非实质性响应内容</w:t>
            </w:r>
            <w:r/>
          </w:p>
        </w:tc>
        <w:tc>
          <w:tcPr>
            <w:tcW w:w="924"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720" w:type="pct"/>
            <w:vAlign w:val="center"/>
            <w:textDirection w:val="lrTb"/>
            <w:noWrap w:val="false"/>
          </w:tcPr>
          <w:p>
            <w:pPr>
              <w:jc w:val="center"/>
              <w:spacing w:line="240" w:lineRule="atLeast"/>
              <w:rPr>
                <w:rFonts w:hint="eastAsia"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2999" w:type="pct"/>
            <w:vAlign w:val="center"/>
            <w:textDirection w:val="lrTb"/>
            <w:noWrap w:val="false"/>
          </w:tcPr>
          <w:p>
            <w:pPr>
              <w:pStyle w:val="696"/>
              <w:rPr>
                <w:color w:val="auto"/>
                <w:highlight w:val="none"/>
              </w:rPr>
            </w:pPr>
            <w:r>
              <w:rPr>
                <w:rFonts w:hint="eastAsia"/>
                <w:color w:val="auto"/>
                <w:highlight w:val="none"/>
              </w:rPr>
              <w:t xml:space="preserve">《中小企业声明函》</w:t>
            </w:r>
            <w:r/>
          </w:p>
          <w:p>
            <w:pPr>
              <w:spacing w:line="0" w:lineRule="atLeast"/>
              <w:rPr>
                <w:rFonts w:hint="eastAsia" w:ascii="宋体" w:hAnsi="宋体" w:cs="宋体"/>
                <w:color w:val="auto"/>
                <w:szCs w:val="21"/>
                <w:highlight w:val="none"/>
              </w:rPr>
            </w:pPr>
            <w:r>
              <w:rPr>
                <w:rFonts w:hint="eastAsia" w:ascii="宋体" w:hAnsi="宋体" w:cs="宋体"/>
                <w:color w:val="auto"/>
                <w:szCs w:val="21"/>
                <w:highlight w:val="none"/>
              </w:rPr>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355"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color w:val="auto"/>
                <w:szCs w:val="21"/>
                <w:highlight w:val="none"/>
              </w:rPr>
              <w:t xml:space="preserve">2</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color w:val="auto"/>
                <w:szCs w:val="21"/>
                <w:highlight w:val="none"/>
              </w:rPr>
              <w:t xml:space="preserve">《残疾人福利性单位声明函》</w:t>
            </w:r>
            <w:r/>
          </w:p>
        </w:tc>
        <w:tc>
          <w:tcPr>
            <w:tcW w:w="924"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c>
          <w:tcPr>
            <w:tcW w:w="720" w:type="pct"/>
            <w:vAlign w:val="center"/>
            <w:textDirection w:val="lrTb"/>
            <w:noWrap w:val="false"/>
          </w:tcPr>
          <w:p>
            <w:pPr>
              <w:rPr>
                <w:rFonts w:hint="eastAsia" w:ascii="宋体" w:hAnsi="宋体" w:cs="宋体"/>
                <w:b/>
                <w:color w:val="auto"/>
                <w:szCs w:val="21"/>
                <w:highlight w:val="none"/>
              </w:rPr>
            </w:pPr>
            <w:r>
              <w:rPr>
                <w:rFonts w:hint="eastAsia" w:ascii="宋体" w:hAnsi="宋体" w:cs="宋体"/>
                <w:b/>
                <w:color w:val="auto"/>
                <w:szCs w:val="21"/>
                <w:highlight w:val="none"/>
              </w:rPr>
            </w:r>
            <w:r/>
          </w:p>
        </w:tc>
      </w:tr>
      <w:tr>
        <w:trPr>
          <w:trHeight w:val="585"/>
        </w:trPr>
        <w:tc>
          <w:tcPr>
            <w:tcW w:w="355"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2999" w:type="pct"/>
            <w:vAlign w:val="center"/>
            <w:textDirection w:val="lrTb"/>
            <w:noWrap w:val="false"/>
          </w:tcPr>
          <w:p>
            <w:pPr>
              <w:spacing w:line="0" w:lineRule="atLeast"/>
              <w:rPr>
                <w:rFonts w:hint="eastAsia" w:ascii="宋体" w:hAnsi="宋体" w:cs="宋体"/>
                <w:iCs/>
                <w:color w:val="auto"/>
                <w:szCs w:val="21"/>
                <w:highlight w:val="none"/>
              </w:rPr>
            </w:pPr>
            <w:r>
              <w:rPr>
                <w:rFonts w:hint="eastAsia" w:ascii="宋体" w:hAnsi="宋体" w:cs="宋体"/>
                <w:iCs/>
                <w:color w:val="auto"/>
                <w:szCs w:val="21"/>
                <w:highlight w:val="none"/>
              </w:rPr>
              <w:t xml:space="preserve">……</w:t>
            </w:r>
            <w:r/>
          </w:p>
        </w:tc>
        <w:tc>
          <w:tcPr>
            <w:tcW w:w="924"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c>
          <w:tcPr>
            <w:tcW w:w="720" w:type="pct"/>
            <w:vAlign w:val="center"/>
            <w:textDirection w:val="lrTb"/>
            <w:noWrap w:val="false"/>
          </w:tcPr>
          <w:p>
            <w:pPr>
              <w:rPr>
                <w:rFonts w:hint="eastAsia" w:ascii="宋体" w:hAnsi="宋体" w:cs="宋体"/>
                <w:color w:val="auto"/>
                <w:szCs w:val="21"/>
                <w:highlight w:val="none"/>
              </w:rPr>
            </w:pPr>
            <w:r>
              <w:rPr>
                <w:rFonts w:hint="eastAsia" w:ascii="宋体" w:hAnsi="宋体" w:cs="宋体"/>
                <w:color w:val="auto"/>
                <w:szCs w:val="21"/>
                <w:highlight w:val="none"/>
              </w:rPr>
            </w:r>
            <w:r/>
          </w:p>
        </w:tc>
      </w:tr>
    </w:tbl>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contextualSpacing/>
        <w:jc w:val="center"/>
        <w:spacing w:line="6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before="312" w:after="312"/>
        <w:rPr>
          <w:rFonts w:hint="eastAsia" w:ascii="宋体" w:hAnsi="宋体" w:cs="宋体"/>
          <w:b/>
          <w:bCs/>
          <w:color w:val="auto"/>
          <w:highlight w:val="none"/>
        </w:rPr>
      </w:pPr>
      <w:r>
        <w:rPr>
          <w:rFonts w:hint="eastAsia" w:ascii="宋体" w:hAnsi="宋体" w:cs="宋体"/>
          <w:b/>
          <w:bCs/>
          <w:color w:val="auto"/>
          <w:highlight w:val="none"/>
        </w:rPr>
        <w:br w:type="page" w:clear="all"/>
      </w:r>
      <w:r>
        <w:rPr>
          <w:rFonts w:hint="eastAsia" w:ascii="宋体" w:hAnsi="宋体" w:cs="宋体"/>
          <w:b/>
          <w:bCs/>
          <w:color w:val="auto"/>
          <w:highlight w:val="none"/>
        </w:rPr>
        <w:t xml:space="preserve">中小企业声明函（货物）</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本公司（联合体）郑重声明，根据《政府采购促进中小企业发展管理办法》（财库﹝2020﹞46 号）的规定，本公司（联合体）参加</w:t>
      </w:r>
      <w:r>
        <w:rPr>
          <w:rFonts w:hint="eastAsia" w:ascii="宋体" w:hAnsi="宋体" w:cs="宋体"/>
          <w:color w:val="auto"/>
          <w:highlight w:val="none"/>
          <w:u w:val="single"/>
        </w:rPr>
        <w:t xml:space="preserve">（单位名称）</w:t>
      </w:r>
      <w:r>
        <w:rPr>
          <w:rFonts w:hint="eastAsia" w:ascii="宋体" w:hAnsi="宋体" w:cs="宋体"/>
          <w:color w:val="auto"/>
          <w:highlight w:val="none"/>
        </w:rPr>
        <w:t xml:space="preserve">的</w:t>
      </w:r>
      <w:r>
        <w:rPr>
          <w:rFonts w:hint="eastAsia" w:ascii="宋体" w:hAnsi="宋体" w:cs="宋体"/>
          <w:color w:val="auto"/>
          <w:highlight w:val="none"/>
          <w:u w:val="single"/>
        </w:rPr>
        <w:t xml:space="preserve">（项目名称）</w:t>
      </w:r>
      <w:r>
        <w:rPr>
          <w:rFonts w:hint="eastAsia" w:ascii="宋体" w:hAnsi="宋体" w:cs="宋体"/>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1.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（工业）行业</w:t>
      </w:r>
      <w:r>
        <w:rPr>
          <w:rFonts w:hint="eastAsia" w:ascii="宋体" w:hAnsi="宋体" w:cs="宋体"/>
          <w:color w:val="auto"/>
          <w:highlight w:val="none"/>
          <w:u w:val="single"/>
        </w:rPr>
        <w:t xml:space="preserve">（不得对行业类别修改）</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ascii="宋体" w:hAnsi="宋体" w:cs="宋体"/>
          <w:color w:val="auto"/>
          <w:spacing w:val="-1"/>
          <w:highlight w:val="none"/>
          <w:vertAlign w:val="superscript"/>
        </w:rPr>
        <w:t xml:space="preserve">1</w:t>
      </w:r>
      <w:r>
        <w:rPr>
          <w:rFonts w:hint="eastAsia" w:ascii="宋体" w:hAnsi="宋体" w:cs="宋体"/>
          <w:color w:val="auto"/>
          <w:spacing w:val="-1"/>
          <w:highlight w:val="none"/>
          <w:vertAlign w:val="superscript"/>
        </w:rPr>
        <w:fldChar w:fldCharType="end"/>
      </w:r>
      <w:r>
        <w:rPr>
          <w:rFonts w:hint="eastAsia" w:ascii="宋体" w:hAnsi="宋体" w:cs="宋体"/>
          <w:color w:val="auto"/>
          <w:highlight w:val="none"/>
        </w:rPr>
        <w:t xml:space="preserve">，属于</w:t>
      </w:r>
      <w:r>
        <w:rPr>
          <w:rFonts w:hint="eastAsia" w:ascii="宋体" w:hAnsi="宋体" w:cs="宋体"/>
          <w:color w:val="auto"/>
          <w:highlight w:val="none"/>
          <w:u w:val="single"/>
        </w:rPr>
        <w:t xml:space="preserve">（□中型企业 □小型企业 □微型企业）；</w:t>
      </w:r>
      <w:r/>
    </w:p>
    <w:p>
      <w:pPr>
        <w:ind w:firstLine="420"/>
        <w:jc w:val="left"/>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2. </w:t>
      </w:r>
      <w:r>
        <w:rPr>
          <w:rFonts w:hint="eastAsia" w:ascii="宋体" w:hAnsi="宋体" w:cs="宋体"/>
          <w:color w:val="auto"/>
          <w:highlight w:val="none"/>
          <w:u w:val="single"/>
        </w:rPr>
        <w:t xml:space="preserve">（标的名称） </w:t>
      </w:r>
      <w:r>
        <w:rPr>
          <w:rFonts w:hint="eastAsia" w:ascii="宋体" w:hAnsi="宋体" w:cs="宋体"/>
          <w:color w:val="auto"/>
          <w:highlight w:val="none"/>
        </w:rPr>
        <w:t xml:space="preserve">，属于</w:t>
      </w:r>
      <w:r>
        <w:rPr>
          <w:rFonts w:hint="eastAsia" w:ascii="宋体" w:hAnsi="宋体" w:cs="宋体"/>
          <w:b/>
          <w:bCs/>
          <w:color w:val="auto"/>
          <w:highlight w:val="none"/>
          <w:u w:val="single"/>
        </w:rPr>
        <w:t xml:space="preserve">（工业）行业</w:t>
      </w:r>
      <w:r>
        <w:rPr>
          <w:rFonts w:hint="eastAsia" w:ascii="宋体" w:hAnsi="宋体" w:cs="宋体"/>
          <w:color w:val="auto"/>
          <w:highlight w:val="none"/>
          <w:u w:val="single"/>
        </w:rPr>
        <w:t xml:space="preserve">（不得对行业类别修改）；</w:t>
      </w:r>
      <w:r>
        <w:rPr>
          <w:rFonts w:hint="eastAsia" w:ascii="宋体" w:hAnsi="宋体" w:cs="宋体"/>
          <w:color w:val="auto"/>
          <w:highlight w:val="none"/>
        </w:rPr>
        <w:t xml:space="preserve">制造商为</w:t>
      </w:r>
      <w:r>
        <w:rPr>
          <w:rFonts w:hint="eastAsia" w:ascii="宋体" w:hAnsi="宋体" w:cs="宋体"/>
          <w:color w:val="auto"/>
          <w:highlight w:val="none"/>
          <w:u w:val="single"/>
        </w:rPr>
        <w:t xml:space="preserve">（企业名称）</w:t>
      </w:r>
      <w:r>
        <w:rPr>
          <w:rFonts w:hint="eastAsia" w:ascii="宋体" w:hAnsi="宋体" w:cs="宋体"/>
          <w:color w:val="auto"/>
          <w:highlight w:val="none"/>
        </w:rPr>
        <w:t xml:space="preserve">，从业人员人，营业收入为万元，资产总额为万元，属于</w:t>
      </w:r>
      <w:r>
        <w:rPr>
          <w:rFonts w:hint="eastAsia" w:ascii="宋体" w:hAnsi="宋体" w:cs="宋体"/>
          <w:color w:val="auto"/>
          <w:highlight w:val="none"/>
          <w:u w:val="single"/>
        </w:rPr>
        <w:t xml:space="preserve">（□中型企业 □小型企业 □微型企业）；</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本企业对上述声明内容的真实性负责。如有虚假，将依法承担相应责任。</w:t>
      </w:r>
      <w:r/>
    </w:p>
    <w:p>
      <w:pPr>
        <w:jc w:val="left"/>
        <w:rPr>
          <w:rFonts w:hint="eastAsia" w:ascii="宋体" w:hAnsi="宋体" w:cs="宋体"/>
          <w:color w:val="auto"/>
          <w:highlight w:val="none"/>
        </w:rPr>
      </w:pPr>
      <w:r>
        <w:rPr>
          <w:rFonts w:hint="eastAsia" w:ascii="宋体" w:hAnsi="宋体" w:cs="宋体"/>
          <w:color w:val="auto"/>
          <w:highlight w:val="none"/>
        </w:rPr>
      </w:r>
      <w:r/>
    </w:p>
    <w:p>
      <w:pPr>
        <w:jc w:val="left"/>
        <w:spacing w:line="360" w:lineRule="auto"/>
        <w:rPr>
          <w:rFonts w:hint="eastAsia" w:ascii="宋体" w:hAnsi="宋体" w:cs="宋体"/>
          <w:color w:val="auto"/>
          <w:highlight w:val="none"/>
        </w:rPr>
      </w:pPr>
      <w:r>
        <w:rPr>
          <w:rFonts w:hint="eastAsia" w:ascii="宋体" w:hAnsi="宋体" w:cs="宋体"/>
          <w:color w:val="auto"/>
          <w:highlight w:val="none"/>
        </w:rPr>
        <w:t xml:space="preserve"> </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备注：</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1.从业人员、营业收入、资产总额填报上一年度数据，无上一年度数据的新成立企业可不填报。</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2.专门面向中小微型企业采购的项目，投标人如不按要求提供此声明函，则不能通过资格审查；非专门面向中小微型企业采购的项目，投标人如不</w:t>
      </w:r>
      <w:r>
        <w:rPr>
          <w:rFonts w:hint="eastAsia"/>
          <w:color w:val="auto"/>
          <w:highlight w:val="none"/>
        </w:rPr>
        <w:t xml:space="preserve">按要求</w:t>
      </w:r>
      <w:r>
        <w:rPr>
          <w:rFonts w:hint="eastAsia" w:ascii="宋体" w:hAnsi="宋体"/>
          <w:color w:val="auto"/>
          <w:highlight w:val="none"/>
        </w:rPr>
        <w:t xml:space="preserve">提供此声明函，价格将不做相应扣除。</w:t>
      </w:r>
      <w:r/>
    </w:p>
    <w:p>
      <w:pPr>
        <w:jc w:val="left"/>
        <w:spacing w:line="360" w:lineRule="auto"/>
        <w:rPr>
          <w:rFonts w:hint="eastAsia" w:ascii="宋体" w:hAnsi="宋体"/>
          <w:color w:val="auto"/>
          <w:highlight w:val="none"/>
        </w:rPr>
      </w:pPr>
      <w:r>
        <w:rPr>
          <w:rFonts w:hint="eastAsia" w:ascii="宋体" w:hAnsi="宋体"/>
          <w:color w:val="auto"/>
          <w:highlight w:val="none"/>
        </w:rPr>
        <w:t xml:space="preserve">3.投标人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left"/>
        <w:spacing w:line="360" w:lineRule="auto"/>
        <w:rPr>
          <w:color w:val="auto"/>
          <w:highlight w:val="none"/>
        </w:rPr>
      </w:pPr>
      <w:r>
        <w:rPr>
          <w:rFonts w:hint="eastAsia" w:ascii="宋体" w:hAnsi="宋体" w:cs="宋体"/>
          <w:color w:val="auto"/>
          <w:szCs w:val="21"/>
          <w:highlight w:val="none"/>
        </w:rPr>
        <w:t xml:space="preserve">4.声明函请按照第四章项目需求中的采购清单逐项填写，应涵盖本项目所有货物，否则视为不符合要求。</w:t>
      </w:r>
      <w:r>
        <w:rPr>
          <w:rFonts w:hint="eastAsia" w:ascii="宋体" w:hAnsi="宋体"/>
          <w:color w:val="auto"/>
          <w:highlight w:val="none"/>
        </w:rPr>
        <w:t xml:space="preserve"> </w:t>
      </w:r>
      <w:r/>
    </w:p>
    <w:p>
      <w:pPr>
        <w:ind w:firstLine="4620"/>
        <w:jc w:val="left"/>
        <w:spacing w:line="360" w:lineRule="auto"/>
        <w:rPr>
          <w:color w:val="auto"/>
          <w:highlight w:val="none"/>
        </w:rPr>
      </w:pPr>
      <w:r>
        <w:rPr>
          <w:color w:val="auto"/>
          <w:highlight w:val="none"/>
        </w:rPr>
      </w:r>
      <w:r/>
    </w:p>
    <w:p>
      <w:pPr>
        <w:ind w:firstLine="4620"/>
        <w:jc w:val="left"/>
        <w:spacing w:line="360" w:lineRule="auto"/>
        <w:rPr>
          <w:color w:val="auto"/>
          <w:highlight w:val="none"/>
        </w:rPr>
      </w:pPr>
      <w:r>
        <w:rPr>
          <w:rFonts w:hint="eastAsia"/>
          <w:color w:val="auto"/>
          <w:highlight w:val="none"/>
        </w:rPr>
        <w:t xml:space="preserve">企业名称（盖章）：</w:t>
      </w:r>
      <w:r/>
    </w:p>
    <w:p>
      <w:pPr>
        <w:jc w:val="left"/>
        <w:spacing w:line="360" w:lineRule="auto"/>
        <w:rPr>
          <w:color w:val="auto"/>
          <w:highlight w:val="none"/>
        </w:rPr>
      </w:pPr>
      <w:r>
        <w:rPr>
          <w:rFonts w:hint="eastAsia"/>
          <w:color w:val="auto"/>
          <w:highlight w:val="none"/>
        </w:rPr>
        <w:t xml:space="preserve">                                                      日 期：</w:t>
      </w:r>
      <w:r/>
    </w:p>
    <w:p>
      <w:pPr>
        <w:rPr>
          <w:rStyle w:val="942"/>
          <w:rFonts w:hint="eastAsia" w:ascii="宋体" w:hAnsi="宋体" w:cs="宋体"/>
          <w:color w:val="auto"/>
          <w:szCs w:val="21"/>
          <w:highlight w:val="none"/>
        </w:rPr>
      </w:pPr>
      <w:r>
        <w:rPr>
          <w:rStyle w:val="942"/>
          <w:rFonts w:hint="eastAsia" w:ascii="宋体" w:hAnsi="宋体" w:cs="宋体"/>
          <w:color w:val="auto"/>
          <w:szCs w:val="21"/>
          <w:highlight w:val="none"/>
        </w:rPr>
        <w:br w:type="page" w:clear="all"/>
      </w:r>
      <w:r/>
    </w:p>
    <w:p>
      <w:pPr>
        <w:jc w:val="center"/>
        <w:rPr>
          <w:rStyle w:val="942"/>
          <w:rFonts w:hint="eastAsia" w:ascii="宋体" w:hAnsi="宋体" w:cs="宋体"/>
          <w:color w:val="auto"/>
          <w:szCs w:val="21"/>
          <w:highlight w:val="none"/>
        </w:rPr>
      </w:pPr>
      <w:r>
        <w:rPr>
          <w:rStyle w:val="942"/>
          <w:rFonts w:hint="eastAsia" w:ascii="宋体" w:hAnsi="宋体" w:cs="宋体"/>
          <w:color w:val="auto"/>
          <w:szCs w:val="21"/>
          <w:highlight w:val="none"/>
        </w:rPr>
        <w:t xml:space="preserve">中小微企业划型标准</w:t>
      </w:r>
      <w:r/>
    </w:p>
    <w:p>
      <w:pPr>
        <w:pStyle w:val="937"/>
        <w:ind w:firstLine="420"/>
        <w:spacing w:before="300" w:after="452"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Style w:val="942"/>
          <w:rFonts w:hint="eastAsia" w:ascii="宋体" w:hAnsi="宋体" w:cs="宋体"/>
          <w:color w:val="auto"/>
          <w:sz w:val="21"/>
          <w:szCs w:val="21"/>
          <w:highlight w:val="none"/>
        </w:rPr>
        <w:t xml:space="preserve">中小微企业划型标准如下：</w:t>
      </w:r>
      <w:r/>
    </w:p>
    <w:tbl>
      <w:tblPr>
        <w:tblStyle w:val="690"/>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937"/>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37"/>
              <w:ind w:firstLine="420"/>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937"/>
              <w:jc w:val="center"/>
              <w:spacing w:after="150" w:line="360" w:lineRule="auto"/>
              <w:widowControl/>
              <w:rPr>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X＜10</w:t>
            </w:r>
            <w:r/>
          </w:p>
        </w:tc>
      </w:tr>
    </w:tbl>
    <w:p>
      <w:pPr>
        <w:pStyle w:val="937"/>
        <w:ind w:firstLine="810"/>
        <w:spacing w:before="300" w:after="452" w:line="360" w:lineRule="auto"/>
        <w:widowControl/>
        <w:rPr>
          <w:rStyle w:val="942"/>
          <w:rFonts w:hint="eastAsia" w:ascii="宋体" w:hAnsi="宋体" w:cs="宋体"/>
          <w:color w:val="auto"/>
          <w:sz w:val="21"/>
          <w:szCs w:val="21"/>
          <w:highlight w:val="none"/>
        </w:rPr>
      </w:pPr>
      <w:r>
        <w:rPr>
          <w:rStyle w:val="942"/>
          <w:rFonts w:hint="eastAsia" w:ascii="宋体" w:hAnsi="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17"/>
        <w:rPr>
          <w:rFonts w:hint="eastAsia" w:ascii="宋体" w:hAnsi="宋体" w:cs="宋体"/>
          <w:color w:val="auto"/>
          <w:highlight w:val="none"/>
        </w:rPr>
      </w:pPr>
      <w:r>
        <w:rPr>
          <w:rStyle w:val="942"/>
          <w:rFonts w:hint="eastAsia" w:ascii="宋体" w:hAnsi="宋体" w:cs="宋体"/>
          <w:b w:val="0"/>
          <w:color w:val="auto"/>
          <w:sz w:val="21"/>
          <w:szCs w:val="21"/>
          <w:highlight w:val="none"/>
        </w:rPr>
        <w:br w:type="page" w:clear="all"/>
      </w:r>
      <w:r/>
    </w:p>
    <w:p>
      <w:pPr>
        <w:ind w:firstLine="2726"/>
        <w:spacing w:line="360" w:lineRule="auto"/>
        <w:rPr>
          <w:rFonts w:hint="eastAsia" w:ascii="宋体" w:hAnsi="宋体" w:cs="宋体"/>
          <w:b/>
          <w:bCs/>
          <w:color w:val="auto"/>
          <w:highlight w:val="none"/>
        </w:rPr>
      </w:pPr>
      <w:r>
        <w:rPr>
          <w:rFonts w:hint="eastAsia" w:ascii="宋体" w:hAnsi="宋体" w:cs="宋体"/>
          <w:b/>
          <w:bCs/>
          <w:color w:val="auto"/>
          <w:highlight w:val="none"/>
        </w:rPr>
        <w:t xml:space="preserve">残疾人福利性单位声明函</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本单位在本次政府采购活动中提供的残疾人福利单位产品报价合计为人民币（大写）圆整（￥：     ）。</w:t>
      </w:r>
      <w:r/>
    </w:p>
    <w:p>
      <w:pPr>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本单位对上述声明的真实性负责。如有虚假，将依法承担相应责任。</w:t>
      </w:r>
      <w:r/>
    </w:p>
    <w:p>
      <w:pPr>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588" w:lineRule="exact"/>
        <w:rPr>
          <w:rFonts w:hint="eastAsia" w:ascii="宋体" w:hAnsi="宋体" w:cs="宋体"/>
          <w:color w:val="auto"/>
          <w:szCs w:val="21"/>
          <w:highlight w:val="none"/>
        </w:rPr>
      </w:pPr>
      <w:r>
        <w:rPr>
          <w:rFonts w:hint="eastAsia" w:ascii="宋体" w:hAnsi="宋体" w:cs="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hint="eastAsia" w:ascii="宋体" w:hAnsi="宋体" w:cs="宋体"/>
          <w:color w:val="auto"/>
          <w:spacing w:val="6"/>
          <w:szCs w:val="21"/>
          <w:highlight w:val="none"/>
        </w:rPr>
      </w:pPr>
      <w:r>
        <w:rPr>
          <w:rFonts w:hint="eastAsia" w:ascii="宋体" w:hAnsi="宋体" w:cs="宋体"/>
          <w:color w:val="auto"/>
          <w:spacing w:val="6"/>
          <w:szCs w:val="21"/>
          <w:highlight w:val="none"/>
        </w:rPr>
      </w:r>
      <w:r/>
    </w:p>
    <w:p>
      <w:pPr>
        <w:ind w:right="1560" w:firstLine="420"/>
        <w:jc w:val="center"/>
        <w:spacing w:line="588" w:lineRule="exact"/>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供应商全称（盖章）：</w:t>
      </w:r>
      <w:r/>
    </w:p>
    <w:p>
      <w:pPr>
        <w:ind w:right="1560" w:firstLine="420"/>
        <w:jc w:val="center"/>
        <w:spacing w:line="588" w:lineRule="exact"/>
        <w:tabs>
          <w:tab w:val="left" w:pos="486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spacing w:line="360" w:lineRule="auto"/>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jc w:val="center"/>
        <w:rPr>
          <w:rFonts w:hint="eastAsia" w:ascii="宋体" w:hAnsi="宋体" w:cs="宋体"/>
          <w:color w:val="auto"/>
          <w:sz w:val="32"/>
          <w:highlight w:val="none"/>
        </w:rPr>
      </w:pPr>
      <w:r>
        <w:rPr>
          <w:rFonts w:hint="eastAsia" w:ascii="宋体" w:hAnsi="宋体" w:cs="宋体"/>
          <w:b/>
          <w:color w:val="auto"/>
          <w:sz w:val="32"/>
          <w:szCs w:val="32"/>
          <w:highlight w:val="none"/>
        </w:rPr>
        <w:br w:type="page" w:clear="all"/>
      </w:r>
      <w:bookmarkStart w:id="78" w:name="_Toc19910"/>
      <w:r/>
      <w:bookmarkStart w:id="79" w:name="_Toc25382"/>
      <w:r>
        <w:rPr>
          <w:rFonts w:hint="eastAsia" w:ascii="宋体" w:hAnsi="宋体" w:cs="宋体"/>
          <w:b/>
          <w:bCs/>
          <w:color w:val="auto"/>
          <w:sz w:val="32"/>
          <w:szCs w:val="44"/>
          <w:highlight w:val="none"/>
        </w:rPr>
        <w:t xml:space="preserve">四、开标一览表</w:t>
      </w:r>
      <w:bookmarkEnd w:id="78"/>
      <w:r/>
      <w:bookmarkEnd w:id="79"/>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项目名称：</w:t>
      </w:r>
      <w:r/>
    </w:p>
    <w:p>
      <w:pPr>
        <w:ind w:firstLine="48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项目编号：</w:t>
      </w:r>
      <w:r/>
    </w:p>
    <w:p>
      <w:pPr>
        <w:ind w:firstLine="480"/>
        <w:rPr>
          <w:rFonts w:hint="eastAsia" w:ascii="宋体" w:hAnsi="宋体" w:cs="宋体"/>
          <w:color w:val="auto"/>
          <w:szCs w:val="21"/>
          <w:highlight w:val="none"/>
        </w:rPr>
      </w:pPr>
      <w:r>
        <w:rPr>
          <w:rFonts w:hint="eastAsia" w:ascii="宋体" w:hAnsi="宋体" w:cs="宋体"/>
          <w:color w:val="auto"/>
          <w:szCs w:val="21"/>
          <w:highlight w:val="none"/>
        </w:rPr>
      </w:r>
      <w:r/>
    </w:p>
    <w:tbl>
      <w:tblPr>
        <w:tblStyle w:val="69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1395" w:type="pct"/>
            <w:vAlign w:val="center"/>
            <w:textDirection w:val="lrTb"/>
            <w:noWrap w:val="false"/>
          </w:tcPr>
          <w:p>
            <w:pPr>
              <w:pStyle w:val="92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投标货物及服务名称</w:t>
            </w:r>
            <w:r/>
          </w:p>
        </w:tc>
        <w:tc>
          <w:tcPr>
            <w:tcW w:w="3604" w:type="pct"/>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投标总报价</w:t>
            </w:r>
            <w:r/>
          </w:p>
        </w:tc>
      </w:tr>
      <w:tr>
        <w:trPr>
          <w:cantSplit/>
          <w:trHeight w:val="2607"/>
        </w:trPr>
        <w:tc>
          <w:tcPr>
            <w:tcW w:w="1395" w:type="pct"/>
            <w:vAlign w:val="center"/>
            <w:textDirection w:val="lrTb"/>
            <w:noWrap w:val="false"/>
          </w:tcPr>
          <w:p>
            <w:pPr>
              <w:pStyle w:val="925"/>
              <w:spacing w:line="30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604" w:type="pct"/>
            <w:vAlign w:val="center"/>
            <w:textDirection w:val="lrTb"/>
            <w:noWrap w:val="false"/>
          </w:tcPr>
          <w:p>
            <w:pPr>
              <w:pStyle w:val="947"/>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大写：</w:t>
            </w:r>
            <w:r/>
          </w:p>
          <w:p>
            <w:pPr>
              <w:pStyle w:val="947"/>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小写：                             （人民币：元）</w:t>
            </w:r>
            <w:r/>
          </w:p>
          <w:p>
            <w:pPr>
              <w:pStyle w:val="947"/>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bl>
    <w:p>
      <w:pPr>
        <w:rPr>
          <w:rFonts w:hint="eastAsia" w:ascii="宋体" w:hAnsi="宋体" w:cs="宋体"/>
          <w:color w:val="auto"/>
          <w:szCs w:val="21"/>
          <w:highlight w:val="none"/>
        </w:rPr>
      </w:pPr>
      <w:r>
        <w:rPr>
          <w:rFonts w:hint="eastAsia" w:ascii="宋体" w:hAnsi="宋体" w:cs="宋体"/>
          <w:color w:val="auto"/>
          <w:szCs w:val="21"/>
          <w:highlight w:val="none"/>
        </w:rPr>
      </w:r>
      <w:r/>
    </w:p>
    <w:p>
      <w:pPr>
        <w:ind w:firstLine="480"/>
        <w:rPr>
          <w:rFonts w:hint="eastAsia" w:ascii="宋体" w:hAnsi="宋体" w:cs="宋体"/>
          <w:color w:val="auto"/>
          <w:sz w:val="32"/>
          <w:szCs w:val="32"/>
          <w:highlight w:val="none"/>
        </w:rPr>
      </w:pPr>
      <w:r>
        <w:rPr>
          <w:rFonts w:hint="eastAsia" w:ascii="宋体" w:hAnsi="宋体" w:cs="宋体"/>
          <w:color w:val="auto"/>
          <w:szCs w:val="21"/>
          <w:highlight w:val="none"/>
        </w:rPr>
        <w:t xml:space="preserve">                                          </w:t>
      </w:r>
      <w:r/>
    </w:p>
    <w:p>
      <w:pPr>
        <w:pStyle w:val="922"/>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922"/>
        <w:ind w:firstLine="64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numPr>
          <w:ilvl w:val="0"/>
          <w:numId w:val="9"/>
        </w:numPr>
        <w:jc w:val="center"/>
        <w:rPr>
          <w:rFonts w:hint="eastAsia" w:ascii="宋体" w:hAnsi="宋体" w:cs="宋体"/>
          <w:b/>
          <w:bCs/>
          <w:color w:val="auto"/>
          <w:sz w:val="32"/>
          <w:szCs w:val="44"/>
          <w:highlight w:val="none"/>
        </w:rPr>
      </w:pPr>
      <w:r>
        <w:rPr>
          <w:rFonts w:hint="eastAsia" w:ascii="宋体" w:hAnsi="宋体" w:cs="宋体"/>
          <w:color w:val="auto"/>
          <w:sz w:val="32"/>
          <w:szCs w:val="32"/>
          <w:highlight w:val="none"/>
        </w:rPr>
        <w:br w:type="page" w:clear="all"/>
      </w:r>
      <w:bookmarkStart w:id="80" w:name="_Toc20323"/>
      <w:r/>
      <w:bookmarkStart w:id="81" w:name="_Toc17891"/>
      <w:r>
        <w:rPr>
          <w:rFonts w:hint="eastAsia" w:ascii="宋体" w:hAnsi="宋体" w:cs="宋体"/>
          <w:b/>
          <w:bCs/>
          <w:color w:val="auto"/>
          <w:sz w:val="32"/>
          <w:szCs w:val="44"/>
          <w:highlight w:val="none"/>
        </w:rPr>
        <w:t xml:space="preserve">投标产品配置及分项报价表</w:t>
      </w:r>
      <w:bookmarkEnd w:id="80"/>
      <w:r/>
      <w:bookmarkEnd w:id="81"/>
      <w:r/>
      <w:r/>
    </w:p>
    <w:tbl>
      <w:tblPr>
        <w:tblStyle w:val="69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2"/>
        <w:gridCol w:w="983"/>
        <w:gridCol w:w="1738"/>
        <w:gridCol w:w="731"/>
        <w:gridCol w:w="689"/>
        <w:gridCol w:w="689"/>
        <w:gridCol w:w="689"/>
        <w:gridCol w:w="692"/>
        <w:gridCol w:w="922"/>
        <w:gridCol w:w="922"/>
      </w:tblGrid>
      <w:tr>
        <w:trPr>
          <w:jc w:val="center"/>
          <w:trHeight w:val="400"/>
        </w:trPr>
        <w:tc>
          <w:tcPr>
            <w:tcW w:w="271"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序号</w:t>
            </w:r>
            <w:r/>
          </w:p>
        </w:tc>
        <w:tc>
          <w:tcPr>
            <w:tcW w:w="577"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类型</w:t>
            </w:r>
            <w:r/>
          </w:p>
        </w:tc>
        <w:tc>
          <w:tcPr>
            <w:tcW w:w="1020"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产品名称</w:t>
            </w:r>
            <w:r/>
          </w:p>
        </w:tc>
        <w:tc>
          <w:tcPr>
            <w:tcW w:w="429"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品牌、规格、型号</w:t>
            </w:r>
            <w:r/>
          </w:p>
        </w:tc>
        <w:tc>
          <w:tcPr>
            <w:tcW w:w="404"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产地</w:t>
            </w:r>
            <w:r/>
          </w:p>
        </w:tc>
        <w:tc>
          <w:tcPr>
            <w:tcW w:w="404"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交付期</w:t>
            </w:r>
            <w:r/>
          </w:p>
        </w:tc>
        <w:tc>
          <w:tcPr>
            <w:tcW w:w="404"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数量</w:t>
            </w:r>
            <w:r/>
          </w:p>
        </w:tc>
        <w:tc>
          <w:tcPr>
            <w:tcW w:w="404"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ascii="Times New Roman" w:hAnsi="Times New Roman"/>
                <w:b/>
                <w:bCs/>
                <w:color w:val="auto"/>
                <w:szCs w:val="21"/>
                <w:highlight w:val="none"/>
              </w:rPr>
              <w:t xml:space="preserve">单位</w:t>
            </w:r>
            <w:r/>
          </w:p>
        </w:tc>
        <w:tc>
          <w:tcPr>
            <w:tcW w:w="541"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单价（元）</w:t>
            </w:r>
            <w:r/>
          </w:p>
        </w:tc>
        <w:tc>
          <w:tcPr>
            <w:tcW w:w="541" w:type="pct"/>
            <w:vAlign w:val="center"/>
            <w:textDirection w:val="lrTb"/>
            <w:noWrap w:val="false"/>
          </w:tcPr>
          <w:p>
            <w:pPr>
              <w:jc w:val="center"/>
              <w:spacing w:line="360" w:lineRule="auto"/>
              <w:widowControl/>
              <w:rPr>
                <w:rFonts w:ascii="Times New Roman" w:hAnsi="Times New Roman"/>
                <w:b/>
                <w:bCs/>
                <w:color w:val="auto"/>
                <w:szCs w:val="21"/>
                <w:highlight w:val="none"/>
              </w:rPr>
            </w:pPr>
            <w:r>
              <w:rPr>
                <w:rFonts w:hint="eastAsia" w:ascii="Times New Roman" w:hAnsi="Times New Roman"/>
                <w:b/>
                <w:bCs/>
                <w:color w:val="auto"/>
                <w:szCs w:val="21"/>
                <w:highlight w:val="none"/>
              </w:rPr>
              <w:t xml:space="preserve">总价（元）</w:t>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1</w:t>
            </w:r>
            <w:r/>
          </w:p>
        </w:tc>
        <w:tc>
          <w:tcPr>
            <w:tcW w:w="577" w:type="pct"/>
            <w:vAlign w:val="center"/>
            <w:vMerge w:val="restar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软件部分</w:t>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智慧病房系统软件</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2</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第三方接口费</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3</w:t>
            </w:r>
            <w:r/>
          </w:p>
        </w:tc>
        <w:tc>
          <w:tcPr>
            <w:tcW w:w="577" w:type="pct"/>
            <w:vAlign w:val="center"/>
            <w:vMerge w:val="restar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普通病区通用硬件</w:t>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医护主机</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4</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普通病房床头分机</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5</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门口分机</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508"/>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6</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卫生间按钮</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7</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吊装走廊屏</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8</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IC卡</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9</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无线呼叫分机</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10</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智能物联网关</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11</w:t>
            </w:r>
            <w:r/>
          </w:p>
        </w:tc>
        <w:tc>
          <w:tcPr>
            <w:tcW w:w="577" w:type="pct"/>
            <w:vAlign w:val="center"/>
            <w:vMerge w:val="restar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ICU病区硬件</w:t>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ICU床头分机</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12</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悬臂支架</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13</w:t>
            </w:r>
            <w:r/>
          </w:p>
        </w:tc>
        <w:tc>
          <w:tcPr>
            <w:tcW w:w="577" w:type="pct"/>
            <w:vAlign w:val="center"/>
            <w:vMerge w:val="restar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智慧示范病区专用硬件软件</w:t>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AI输液识别系统</w:t>
            </w:r>
            <w:r/>
          </w:p>
        </w:tc>
        <w:tc>
          <w:tcPr>
            <w:tcW w:w="429"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14</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物联网网关</w:t>
            </w:r>
            <w:r/>
          </w:p>
        </w:tc>
        <w:tc>
          <w:tcPr>
            <w:tcW w:w="429"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15</w:t>
            </w:r>
            <w:r/>
          </w:p>
        </w:tc>
        <w:tc>
          <w:tcPr>
            <w:tcW w:w="577" w:type="pct"/>
            <w:vAlign w:val="center"/>
            <w:vMerge w:val="continue"/>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输液控制设备</w:t>
            </w:r>
            <w:r/>
          </w:p>
        </w:tc>
        <w:tc>
          <w:tcPr>
            <w:tcW w:w="429"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hint="eastAsia" w:ascii="Times New Roman" w:hAnsi="Times New Roman"/>
                <w:color w:val="auto"/>
                <w:szCs w:val="21"/>
                <w:highlight w:val="none"/>
              </w:rPr>
              <w:t xml:space="preserve">16</w:t>
            </w:r>
            <w:r/>
          </w:p>
        </w:tc>
        <w:tc>
          <w:tcPr>
            <w:tcW w:w="577"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施工辅材</w:t>
            </w:r>
            <w:r/>
          </w:p>
        </w:tc>
        <w:tc>
          <w:tcPr>
            <w:tcW w:w="1020"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t xml:space="preserve">施工辅材（含交换机、施工、辅材等，需满足系统设备的使用需求）</w:t>
            </w:r>
            <w:r/>
          </w:p>
        </w:tc>
        <w:tc>
          <w:tcPr>
            <w:tcW w:w="429"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77" w:type="pct"/>
            <w:vAlign w:val="center"/>
            <w:textDirection w:val="lrTb"/>
            <w:noWrap w:val="false"/>
          </w:tcPr>
          <w:p>
            <w:pPr>
              <w:jc w:val="cente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1020" w:type="pct"/>
            <w:vAlign w:val="center"/>
            <w:textDirection w:val="lrTb"/>
            <w:noWrap w:val="false"/>
          </w:tcPr>
          <w:p>
            <w:pPr>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w:t>
            </w:r>
            <w:r/>
          </w:p>
        </w:tc>
        <w:tc>
          <w:tcPr>
            <w:tcW w:w="429"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404"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r>
        <w:trPr>
          <w:jc w:val="center"/>
          <w:trHeight w:val="400"/>
        </w:trPr>
        <w:tc>
          <w:tcPr>
            <w:tcW w:w="27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77"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1020" w:type="pct"/>
            <w:vAlign w:val="center"/>
            <w:textDirection w:val="lrTb"/>
            <w:noWrap w:val="false"/>
          </w:tcPr>
          <w:p>
            <w:pPr>
              <w:jc w:val="center"/>
              <w:rPr>
                <w:rFonts w:ascii="Times New Roman" w:hAnsi="Times New Roman"/>
                <w:color w:val="auto"/>
                <w:szCs w:val="21"/>
                <w:highlight w:val="none"/>
              </w:rPr>
            </w:pPr>
            <w:r>
              <w:rPr>
                <w:rFonts w:hint="eastAsia" w:ascii="宋体" w:hAnsi="宋体" w:cs="宋体"/>
                <w:color w:val="auto"/>
                <w:szCs w:val="21"/>
                <w:highlight w:val="none"/>
              </w:rPr>
              <w:t xml:space="preserve">合计（元）</w:t>
            </w:r>
            <w:r/>
          </w:p>
        </w:tc>
        <w:tc>
          <w:tcPr>
            <w:gridSpan w:val="5"/>
            <w:tcW w:w="2047"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c>
          <w:tcPr>
            <w:tcW w:w="541" w:type="pct"/>
            <w:vAlign w:val="center"/>
            <w:textDirection w:val="lrTb"/>
            <w:noWrap w:val="false"/>
          </w:tcPr>
          <w:p>
            <w:pPr>
              <w:jc w:val="center"/>
              <w:spacing w:line="360" w:lineRule="auto"/>
              <w:widowControl/>
              <w:rPr>
                <w:rFonts w:ascii="Times New Roman" w:hAnsi="Times New Roman"/>
                <w:color w:val="auto"/>
                <w:szCs w:val="21"/>
                <w:highlight w:val="none"/>
              </w:rPr>
            </w:pPr>
            <w:r>
              <w:rPr>
                <w:rFonts w:ascii="Times New Roman" w:hAnsi="Times New Roman"/>
                <w:color w:val="auto"/>
                <w:szCs w:val="21"/>
                <w:highlight w:val="none"/>
              </w:rPr>
            </w:r>
            <w:r/>
          </w:p>
        </w:tc>
      </w:tr>
    </w:tbl>
    <w:p>
      <w:pPr>
        <w:jc w:val="left"/>
        <w:widowControl/>
        <w:rPr>
          <w:rFonts w:hint="eastAsia" w:ascii="宋体" w:hAnsi="宋体" w:cs="宋体"/>
          <w:b/>
          <w:bCs/>
          <w:color w:val="auto"/>
          <w:highlight w:val="none"/>
        </w:rPr>
      </w:pPr>
      <w:r>
        <w:rPr>
          <w:rFonts w:hint="eastAsia" w:ascii="宋体" w:hAnsi="宋体" w:cs="宋体"/>
          <w:b/>
          <w:bCs/>
          <w:color w:val="auto"/>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注：1、按照基本技术要求详细填列。</w:t>
      </w:r>
      <w:r/>
    </w:p>
    <w:p>
      <w:pPr>
        <w:rPr>
          <w:rFonts w:hint="eastAsia" w:ascii="宋体" w:hAnsi="宋体" w:cs="宋体"/>
          <w:b/>
          <w:bCs/>
          <w:color w:val="auto"/>
          <w:highlight w:val="none"/>
        </w:rPr>
      </w:pPr>
      <w:r>
        <w:rPr>
          <w:rFonts w:hint="eastAsia" w:ascii="宋体" w:hAnsi="宋体" w:cs="宋体"/>
          <w:color w:val="auto"/>
          <w:sz w:val="24"/>
          <w:szCs w:val="24"/>
          <w:highlight w:val="none"/>
        </w:rPr>
        <w:t xml:space="preserve">2、行数不够，可自行添加。</w:t>
      </w:r>
      <w:r/>
    </w:p>
    <w:p>
      <w:pPr>
        <w:pStyle w:val="698"/>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6"/>
        <w:rPr>
          <w:rFonts w:hint="eastAsia" w:ascii="宋体" w:hAnsi="宋体" w:eastAsia="宋体" w:cs="宋体"/>
          <w:color w:val="auto"/>
          <w:sz w:val="32"/>
          <w:highlight w:val="none"/>
        </w:rPr>
      </w:pPr>
      <w:r/>
      <w:bookmarkStart w:id="82" w:name="_Toc16517"/>
      <w:r/>
      <w:bookmarkStart w:id="83" w:name="_Toc5967"/>
      <w:r/>
      <w:bookmarkStart w:id="84" w:name="_Toc9678"/>
      <w:r>
        <w:rPr>
          <w:rFonts w:hint="eastAsia" w:ascii="宋体" w:hAnsi="宋体" w:eastAsia="宋体" w:cs="宋体"/>
          <w:color w:val="auto"/>
          <w:sz w:val="32"/>
          <w:highlight w:val="none"/>
        </w:rPr>
        <w:t xml:space="preserve">六、技术参数响应及偏离表</w:t>
      </w:r>
      <w:bookmarkEnd w:id="82"/>
      <w:r/>
      <w:bookmarkEnd w:id="83"/>
      <w:r/>
      <w:bookmarkEnd w:id="84"/>
      <w:r/>
      <w:r/>
    </w:p>
    <w:tbl>
      <w:tblPr>
        <w:tblStyle w:val="690"/>
        <w:tblW w:w="89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255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招标要求</w:t>
            </w:r>
            <w:r/>
          </w:p>
        </w:tc>
        <w:tc>
          <w:tcPr>
            <w:tcW w:w="2701"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投标响应</w:t>
            </w:r>
            <w:r/>
          </w:p>
        </w:tc>
        <w:tc>
          <w:tcPr>
            <w:tcW w:w="1458"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超出、符合或偏离</w:t>
            </w:r>
            <w:r/>
          </w:p>
        </w:tc>
        <w:tc>
          <w:tcPr>
            <w:tcW w:w="1210" w:type="dxa"/>
            <w:vAlign w:val="center"/>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t xml:space="preserve">证明材料</w:t>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r>
        <w:trPr>
          <w:cantSplit/>
          <w:trHeight w:val="640"/>
        </w:trPr>
        <w:tc>
          <w:tcPr>
            <w:tcW w:w="984"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55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2701"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458"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c>
          <w:tcPr>
            <w:tcW w:w="1210" w:type="dxa"/>
            <w:textDirection w:val="lrTb"/>
            <w:noWrap w:val="false"/>
          </w:tcPr>
          <w:p>
            <w:pPr>
              <w:jc w:val="center"/>
              <w:rPr>
                <w:rFonts w:hint="eastAsia" w:ascii="宋体" w:hAnsi="宋体" w:cs="宋体"/>
                <w:color w:val="auto"/>
                <w:szCs w:val="21"/>
                <w:highlight w:val="none"/>
              </w:rPr>
            </w:pPr>
            <w:r>
              <w:rPr>
                <w:rFonts w:hint="eastAsia" w:ascii="宋体" w:hAnsi="宋体" w:cs="宋体"/>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注：1、</w:t>
      </w:r>
      <w:r>
        <w:rPr>
          <w:rFonts w:hint="eastAsia" w:ascii="宋体" w:hAnsi="宋体" w:cs="宋体"/>
          <w:i/>
          <w:iCs/>
          <w:color w:val="auto"/>
          <w:sz w:val="24"/>
          <w:szCs w:val="24"/>
          <w:highlight w:val="none"/>
          <w:u w:val="single"/>
        </w:rPr>
        <w:t xml:space="preserve">根据第四章 项目需求 1.2产品参数要求逐项如实填写技术参数响应及偏离表中响应情况，应涵盖本项目需求所有产品参数，否则视为无效投标。</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2、行数不够，可自行添加。</w:t>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jc w:val="center"/>
        <w:rPr>
          <w:rFonts w:hint="eastAsia" w:ascii="宋体" w:hAnsi="宋体" w:cs="宋体"/>
          <w:b/>
          <w:color w:val="auto"/>
          <w:sz w:val="36"/>
          <w:highlight w:val="none"/>
        </w:rPr>
      </w:pPr>
      <w:r>
        <w:rPr>
          <w:rFonts w:hint="eastAsia" w:ascii="宋体" w:hAnsi="宋体" w:cs="宋体"/>
          <w:b/>
          <w:color w:val="auto"/>
          <w:sz w:val="36"/>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rPr>
          <w:rFonts w:hint="eastAsia" w:ascii="宋体" w:hAnsi="宋体" w:cs="宋体"/>
          <w:color w:val="auto"/>
          <w:sz w:val="32"/>
          <w:highlight w:val="none"/>
        </w:rPr>
      </w:pPr>
      <w:r>
        <w:rPr>
          <w:rFonts w:hint="eastAsia" w:ascii="宋体" w:hAnsi="宋体" w:cs="宋体"/>
          <w:color w:val="auto"/>
          <w:sz w:val="32"/>
          <w:highlight w:val="none"/>
        </w:rPr>
      </w:r>
      <w:r/>
    </w:p>
    <w:p>
      <w:pPr>
        <w:jc w:val="center"/>
        <w:rPr>
          <w:rFonts w:hint="eastAsia" w:ascii="宋体" w:hAnsi="宋体" w:cs="宋体"/>
          <w:color w:val="auto"/>
          <w:sz w:val="32"/>
          <w:highlight w:val="none"/>
        </w:rPr>
      </w:pPr>
      <w:r>
        <w:rPr>
          <w:rFonts w:hint="eastAsia" w:ascii="宋体" w:hAnsi="宋体" w:cs="宋体"/>
          <w:color w:val="auto"/>
          <w:sz w:val="32"/>
          <w:highlight w:val="none"/>
        </w:rPr>
        <w:br w:type="page" w:clear="all"/>
      </w:r>
      <w:bookmarkStart w:id="85" w:name="_Hlt26955054"/>
      <w:r/>
      <w:bookmarkEnd w:id="85"/>
      <w:r/>
      <w:bookmarkStart w:id="86" w:name="_Toc16820"/>
      <w:r/>
      <w:bookmarkStart w:id="87" w:name="_Toc32154"/>
      <w:r>
        <w:rPr>
          <w:rFonts w:hint="eastAsia" w:ascii="宋体" w:hAnsi="宋体" w:cs="宋体"/>
          <w:b/>
          <w:bCs/>
          <w:color w:val="auto"/>
          <w:sz w:val="32"/>
          <w:szCs w:val="44"/>
          <w:highlight w:val="none"/>
        </w:rPr>
        <w:t xml:space="preserve">七、商务条款响应及偏离表</w:t>
      </w:r>
      <w:bookmarkEnd w:id="86"/>
      <w:r/>
      <w:bookmarkEnd w:id="87"/>
      <w:r/>
      <w:r/>
    </w:p>
    <w:tbl>
      <w:tblPr>
        <w:tblStyle w:val="690"/>
        <w:tblW w:w="84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35"/>
        <w:gridCol w:w="2122"/>
        <w:gridCol w:w="1800"/>
        <w:gridCol w:w="2561"/>
      </w:tblGrid>
      <w:tr>
        <w:trPr>
          <w:trHeight w:val="850"/>
        </w:trPr>
        <w:tc>
          <w:tcPr>
            <w:tcW w:w="1935" w:type="dxa"/>
            <w:textDirection w:val="lrTb"/>
            <w:noWrap w:val="false"/>
          </w:tcPr>
          <w:p>
            <w:pPr>
              <w:jc w:val="center"/>
              <w:spacing w:before="156"/>
              <w:rPr>
                <w:rFonts w:hint="eastAsia" w:ascii="宋体" w:hAnsi="宋体" w:cs="宋体"/>
                <w:color w:val="auto"/>
                <w:szCs w:val="21"/>
                <w:highlight w:val="none"/>
              </w:rPr>
            </w:pPr>
            <w:r/>
            <w:bookmarkStart w:id="88" w:name="_Hlt26580838"/>
            <w:r/>
            <w:bookmarkEnd w:id="88"/>
            <w:r/>
            <w:bookmarkStart w:id="89" w:name="_Hlt26671343"/>
            <w:r/>
            <w:bookmarkEnd w:id="89"/>
            <w:r/>
            <w:bookmarkStart w:id="90" w:name="_Hlt24879081"/>
            <w:r/>
            <w:bookmarkEnd w:id="90"/>
            <w:r/>
            <w:bookmarkStart w:id="91" w:name="_Hlt26782999"/>
            <w:r/>
            <w:bookmarkEnd w:id="91"/>
            <w:r/>
            <w:bookmarkStart w:id="92" w:name="_Hlt26671372"/>
            <w:r/>
            <w:bookmarkEnd w:id="92"/>
            <w:r/>
            <w:bookmarkStart w:id="93" w:name="_Hlt26955056"/>
            <w:r/>
            <w:bookmarkEnd w:id="93"/>
            <w:r/>
            <w:bookmarkStart w:id="94" w:name="_Hlt26609391"/>
            <w:r/>
            <w:bookmarkEnd w:id="94"/>
            <w:r/>
            <w:bookmarkStart w:id="95" w:name="_Hlt26955064"/>
            <w:r/>
            <w:bookmarkEnd w:id="95"/>
            <w:r>
              <w:rPr>
                <w:rFonts w:hint="eastAsia" w:ascii="宋体" w:hAnsi="宋体" w:cs="宋体"/>
                <w:color w:val="auto"/>
                <w:szCs w:val="21"/>
                <w:highlight w:val="none"/>
              </w:rPr>
              <w:t xml:space="preserve">项目</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招标文件要求</w:t>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是否响应</w:t>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投标人的承诺或说明</w:t>
            </w:r>
            <w:r/>
          </w:p>
        </w:tc>
      </w:tr>
      <w:tr>
        <w:trPr>
          <w:trHeight w:val="624"/>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质保期</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950"/>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售后技术服务要求</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717"/>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交付时间</w:t>
            </w:r>
            <w:r/>
          </w:p>
        </w:tc>
        <w:tc>
          <w:tcPr>
            <w:tcW w:w="2122"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6"/>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交货方式</w:t>
            </w:r>
            <w:r/>
          </w:p>
        </w:tc>
        <w:tc>
          <w:tcPr>
            <w:tcW w:w="2122" w:type="dxa"/>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3"/>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交货地点</w:t>
            </w:r>
            <w:r/>
          </w:p>
        </w:tc>
        <w:tc>
          <w:tcPr>
            <w:tcW w:w="2122" w:type="dxa"/>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ind w:left="43"/>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584"/>
        </w:trPr>
        <w:tc>
          <w:tcPr>
            <w:tcW w:w="1935"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t xml:space="preserve">付款方式</w:t>
            </w:r>
            <w:r/>
          </w:p>
        </w:tc>
        <w:tc>
          <w:tcPr>
            <w:tcW w:w="2122" w:type="dxa"/>
            <w:textDirection w:val="lrTb"/>
            <w:noWrap w:val="false"/>
          </w:tcPr>
          <w:p>
            <w:pP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1800"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c>
          <w:tcPr>
            <w:tcW w:w="2561" w:type="dxa"/>
            <w:textDirection w:val="lrTb"/>
            <w:noWrap w:val="false"/>
          </w:tcPr>
          <w:p>
            <w:pPr>
              <w:jc w:val="center"/>
              <w:spacing w:before="156"/>
              <w:rPr>
                <w:rFonts w:hint="eastAsia" w:ascii="宋体" w:hAnsi="宋体" w:cs="宋体"/>
                <w:color w:val="auto"/>
                <w:szCs w:val="21"/>
                <w:highlight w:val="none"/>
              </w:rPr>
            </w:pPr>
            <w:r>
              <w:rPr>
                <w:rFonts w:hint="eastAsia" w:ascii="宋体" w:hAnsi="宋体" w:cs="宋体"/>
                <w:color w:val="auto"/>
                <w:szCs w:val="21"/>
                <w:highlight w:val="none"/>
              </w:rPr>
            </w:r>
            <w:r/>
          </w:p>
        </w:tc>
      </w:tr>
    </w:tbl>
    <w:p>
      <w:pPr>
        <w:spacing w:line="48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80" w:lineRule="auto"/>
        <w:rPr>
          <w:rFonts w:hint="eastAsia" w:ascii="宋体" w:hAnsi="宋体" w:cs="宋体"/>
          <w:color w:val="auto"/>
          <w:sz w:val="30"/>
          <w:highlight w:val="none"/>
        </w:rPr>
      </w:pPr>
      <w:r>
        <w:rPr>
          <w:rFonts w:hint="eastAsia" w:ascii="宋体" w:hAnsi="宋体" w:cs="宋体"/>
          <w:color w:val="auto"/>
          <w:sz w:val="30"/>
          <w:highlight w:val="none"/>
        </w:rPr>
      </w:r>
      <w:r/>
    </w:p>
    <w:p>
      <w:pPr>
        <w:pStyle w:val="922"/>
        <w:ind w:firstLine="480"/>
        <w:rPr>
          <w:rFonts w:hint="eastAsia" w:ascii="宋体" w:hAnsi="宋体" w:cs="宋体"/>
          <w:color w:val="auto"/>
          <w:sz w:val="24"/>
          <w:highlight w:val="none"/>
        </w:rPr>
      </w:pPr>
      <w:r/>
      <w:bookmarkStart w:id="96" w:name="_Hlt26955066"/>
      <w:r/>
      <w:bookmarkEnd w:id="96"/>
      <w:r/>
      <w:bookmarkStart w:id="97" w:name="_Hlt26609389"/>
      <w:r/>
      <w:bookmarkEnd w:id="97"/>
      <w:r/>
      <w:bookmarkStart w:id="98" w:name="_Hlt26671374"/>
      <w:r/>
      <w:bookmarkEnd w:id="98"/>
      <w:r/>
      <w:bookmarkStart w:id="99" w:name="_Toc462564146"/>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jc w:val="center"/>
        <w:rPr>
          <w:rFonts w:hint="eastAsia" w:ascii="宋体" w:hAnsi="宋体" w:cs="宋体"/>
          <w:b/>
          <w:bCs/>
          <w:color w:val="auto"/>
          <w:sz w:val="32"/>
          <w:szCs w:val="44"/>
          <w:highlight w:val="none"/>
        </w:rPr>
      </w:pPr>
      <w:r>
        <w:rPr>
          <w:rFonts w:hint="eastAsia" w:ascii="宋体" w:hAnsi="宋体" w:cs="宋体"/>
          <w:color w:val="auto"/>
          <w:sz w:val="24"/>
          <w:highlight w:val="none"/>
        </w:rPr>
        <w:br w:type="page" w:clear="all"/>
      </w:r>
      <w:r>
        <w:rPr>
          <w:rFonts w:hint="eastAsia" w:ascii="宋体" w:hAnsi="宋体" w:cs="宋体"/>
          <w:b/>
          <w:bCs/>
          <w:color w:val="auto"/>
          <w:sz w:val="32"/>
          <w:szCs w:val="44"/>
          <w:highlight w:val="none"/>
        </w:rPr>
        <w:t xml:space="preserve">八、拟投入人员一览表</w:t>
      </w:r>
      <w:r/>
    </w:p>
    <w:tbl>
      <w:tblPr>
        <w:tblStyle w:val="6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743"/>
        <w:gridCol w:w="744"/>
        <w:gridCol w:w="801"/>
        <w:gridCol w:w="727"/>
        <w:gridCol w:w="1365"/>
        <w:gridCol w:w="855"/>
        <w:gridCol w:w="1573"/>
        <w:gridCol w:w="871"/>
      </w:tblGrid>
      <w:tr>
        <w:trPr>
          <w:jc w:val="center"/>
          <w:trHeight w:val="781"/>
        </w:trPr>
        <w:tc>
          <w:tcPr>
            <w:tcW w:w="676"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序号</w:t>
            </w:r>
            <w:r/>
          </w:p>
        </w:tc>
        <w:tc>
          <w:tcPr>
            <w:tcW w:w="74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岗位</w:t>
            </w:r>
            <w:r/>
          </w:p>
        </w:tc>
        <w:tc>
          <w:tcPr>
            <w:tcW w:w="744"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姓 名</w:t>
            </w:r>
            <w:r/>
          </w:p>
        </w:tc>
        <w:tc>
          <w:tcPr>
            <w:tcW w:w="80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性别</w:t>
            </w:r>
            <w:r/>
          </w:p>
        </w:tc>
        <w:tc>
          <w:tcPr>
            <w:tcW w:w="727"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学历</w:t>
            </w:r>
            <w:r/>
          </w:p>
        </w:tc>
        <w:tc>
          <w:tcPr>
            <w:tcW w:w="136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出生年月</w:t>
            </w:r>
            <w:r/>
          </w:p>
        </w:tc>
        <w:tc>
          <w:tcPr>
            <w:tcW w:w="855"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专业</w:t>
            </w:r>
            <w:r/>
          </w:p>
        </w:tc>
        <w:tc>
          <w:tcPr>
            <w:tcW w:w="1573"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证书及编号</w:t>
            </w:r>
            <w:r/>
          </w:p>
        </w:tc>
        <w:tc>
          <w:tcPr>
            <w:tcW w:w="871" w:type="dxa"/>
            <w:vAlign w:val="center"/>
            <w:textDirection w:val="lrTb"/>
            <w:noWrap w:val="false"/>
          </w:tcPr>
          <w:p>
            <w:pPr>
              <w:ind w:right="-2"/>
              <w:jc w:val="center"/>
              <w:spacing w:before="312"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备注</w:t>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7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r>
        <w:trPr>
          <w:jc w:val="center"/>
          <w:trHeight w:val="483"/>
        </w:trPr>
        <w:tc>
          <w:tcPr>
            <w:tcW w:w="676"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44"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0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727"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36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55"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1573"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c>
          <w:tcPr>
            <w:tcW w:w="871" w:type="dxa"/>
            <w:vAlign w:val="center"/>
            <w:textDirection w:val="lrTb"/>
            <w:noWrap w:val="false"/>
          </w:tcPr>
          <w:p>
            <w:pPr>
              <w:ind w:right="-2"/>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tc>
      </w:tr>
    </w:tbl>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bookmarkEnd w:id="99"/>
      <w:r/>
    </w:p>
    <w:p>
      <w:pPr>
        <w:pStyle w:val="922"/>
        <w:ind w:firstLine="480"/>
        <w:rPr>
          <w:rFonts w:hint="eastAsia" w:ascii="宋体" w:hAnsi="宋体" w:cs="宋体"/>
          <w:color w:val="auto"/>
          <w:sz w:val="24"/>
          <w:highlight w:val="none"/>
        </w:rPr>
      </w:pPr>
      <w:r>
        <w:rPr>
          <w:rFonts w:hint="eastAsia" w:ascii="宋体" w:hAnsi="宋体" w:cs="宋体"/>
          <w:color w:val="auto"/>
          <w:sz w:val="24"/>
          <w:highlight w:val="none"/>
        </w:rPr>
      </w:r>
      <w:r/>
    </w:p>
    <w:p>
      <w:pPr>
        <w:jc w:val="center"/>
        <w:widowControl/>
        <w:rPr>
          <w:rFonts w:hint="eastAsia" w:ascii="宋体" w:hAnsi="宋体" w:cs="宋体"/>
          <w:b/>
          <w:color w:val="auto"/>
          <w:highlight w:val="none"/>
        </w:rPr>
      </w:pPr>
      <w:r/>
      <w:bookmarkStart w:id="100" w:name="_格式2__法定代表人授权书"/>
      <w:r/>
      <w:bookmarkEnd w:id="100"/>
      <w:r>
        <w:rPr>
          <w:rFonts w:hint="eastAsia" w:ascii="宋体" w:hAnsi="宋体" w:cs="宋体"/>
          <w:b/>
          <w:color w:val="auto"/>
          <w:highlight w:val="none"/>
        </w:rPr>
        <w:br w:type="page" w:clear="all"/>
      </w:r>
      <w:r>
        <w:rPr>
          <w:rFonts w:hint="eastAsia" w:ascii="宋体" w:hAnsi="宋体" w:cs="宋体"/>
          <w:b/>
          <w:color w:val="auto"/>
          <w:highlight w:val="none"/>
        </w:rPr>
        <w:t xml:space="preserve">主要标的信息（中标后将公示）</w:t>
      </w:r>
      <w:r/>
    </w:p>
    <w:p>
      <w:pPr>
        <w:spacing w:after="312" w:line="360" w:lineRule="auto"/>
        <w:rPr>
          <w:rFonts w:hint="eastAsia" w:ascii="宋体" w:hAnsi="宋体" w:cs="宋体"/>
          <w:b/>
          <w:color w:val="auto"/>
          <w:highlight w:val="none"/>
        </w:rPr>
      </w:pPr>
      <w:r>
        <w:rPr>
          <w:rFonts w:hint="eastAsia" w:ascii="宋体" w:hAnsi="宋体" w:cs="宋体"/>
          <w:color w:val="auto"/>
          <w:highlight w:val="none"/>
        </w:rPr>
        <w:t xml:space="preserve">投标人全称：</w:t>
      </w:r>
      <w:r/>
    </w:p>
    <w:tbl>
      <w:tblPr>
        <w:tblStyle w:val="690"/>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hint="eastAsia"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hint="eastAsia"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t xml:space="preserve">联合体协议（如有）</w:t>
      </w:r>
      <w:r/>
    </w:p>
    <w:p>
      <w:pPr>
        <w:ind w:firstLine="211"/>
        <w:jc w:val="center"/>
        <w:spacing w:line="360" w:lineRule="auto"/>
        <w:rPr>
          <w:rFonts w:hint="eastAsia" w:ascii="宋体" w:hAnsi="宋体" w:cs="宋体"/>
          <w:b/>
          <w:color w:val="auto"/>
          <w:highlight w:val="none"/>
        </w:rPr>
      </w:pPr>
      <w:r>
        <w:rPr>
          <w:rFonts w:hint="eastAsia" w:ascii="宋体" w:hAnsi="宋体" w:cs="宋体"/>
          <w:b/>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t xml:space="preserve">（联合体中各供应商全称）在此达成以下协议：</w:t>
      </w:r>
      <w:r/>
    </w:p>
    <w:p>
      <w:pPr>
        <w:ind w:firstLine="645"/>
        <w:spacing w:line="360" w:lineRule="auto"/>
        <w:rPr>
          <w:rFonts w:hint="eastAsia" w:ascii="宋体" w:hAnsi="宋体" w:cs="宋体"/>
          <w:color w:val="auto"/>
          <w:highlight w:val="none"/>
        </w:rPr>
      </w:pPr>
      <w:r>
        <w:rPr>
          <w:rFonts w:hint="eastAsia" w:ascii="宋体" w:hAnsi="宋体" w:cs="宋体"/>
          <w:color w:val="auto"/>
          <w:highlight w:val="none"/>
        </w:rPr>
        <w:t xml:space="preserve">1、我们自愿组成联合体，参加代理机构组织的采购编号为（项目编号）（项目全称）的政府采购活动。</w:t>
      </w:r>
      <w:r/>
    </w:p>
    <w:p>
      <w:pPr>
        <w:ind w:firstLine="645"/>
        <w:spacing w:line="360" w:lineRule="auto"/>
        <w:rPr>
          <w:rFonts w:hint="eastAsia" w:ascii="宋体" w:hAnsi="宋体" w:cs="宋体"/>
          <w:color w:val="auto"/>
          <w:highlight w:val="none"/>
        </w:rPr>
      </w:pPr>
      <w:r>
        <w:rPr>
          <w:rFonts w:hint="eastAsia" w:ascii="宋体" w:hAnsi="宋体" w:cs="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cs="宋体"/>
          <w:color w:val="auto"/>
          <w:highlight w:val="none"/>
        </w:rPr>
      </w:pPr>
      <w:r>
        <w:rPr>
          <w:rFonts w:hint="eastAsia" w:ascii="宋体" w:hAnsi="宋体" w:cs="宋体"/>
          <w:color w:val="auto"/>
          <w:highlight w:val="none"/>
        </w:rPr>
      </w:r>
      <w:r/>
    </w:p>
    <w:p>
      <w:pPr>
        <w:ind w:firstLine="4620"/>
        <w:spacing w:line="360" w:lineRule="auto"/>
        <w:rPr>
          <w:rFonts w:hint="eastAsia" w:ascii="宋体" w:hAnsi="宋体" w:cs="宋体"/>
          <w:color w:val="auto"/>
          <w:highlight w:val="none"/>
        </w:rPr>
      </w:pPr>
      <w:r>
        <w:rPr>
          <w:rFonts w:hint="eastAsia" w:ascii="宋体" w:hAnsi="宋体" w:cs="宋体"/>
          <w:color w:val="auto"/>
          <w:highlight w:val="none"/>
        </w:rPr>
        <w:t xml:space="preserve">所有供应商全称：</w:t>
      </w:r>
      <w:r/>
    </w:p>
    <w:p>
      <w:pPr>
        <w:ind w:firstLine="645"/>
        <w:spacing w:line="360" w:lineRule="auto"/>
        <w:rPr>
          <w:rFonts w:hint="eastAsia" w:ascii="宋体" w:hAnsi="宋体" w:cs="宋体"/>
          <w:color w:val="auto"/>
          <w:highlight w:val="none"/>
        </w:rPr>
      </w:pPr>
      <w:r>
        <w:rPr>
          <w:rFonts w:hint="eastAsia" w:ascii="宋体" w:hAnsi="宋体" w:cs="宋体"/>
          <w:color w:val="auto"/>
          <w:highlight w:val="none"/>
        </w:rPr>
        <w:t xml:space="preserve">                                      法定代表人：  </w:t>
      </w:r>
      <w:r/>
    </w:p>
    <w:p>
      <w:pPr>
        <w:ind w:firstLine="4620"/>
        <w:spacing w:line="360" w:lineRule="auto"/>
        <w:rPr>
          <w:rFonts w:hint="eastAsia" w:ascii="宋体" w:hAnsi="宋体" w:cs="宋体"/>
          <w:color w:val="auto"/>
          <w:highlight w:val="none"/>
        </w:rPr>
      </w:pPr>
      <w:r>
        <w:rPr>
          <w:rFonts w:hint="eastAsia" w:ascii="宋体" w:hAnsi="宋体" w:cs="宋体"/>
          <w:color w:val="auto"/>
          <w:highlight w:val="none"/>
        </w:rPr>
        <w:t xml:space="preserve">日期：</w:t>
      </w:r>
      <w:r/>
    </w:p>
    <w:sectPr>
      <w:head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Segoe UI Symbol">
    <w:panose1 w:val="020B0502040204020203"/>
  </w:font>
  <w:font w:name="Noto Sans CJK JP Regular">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等线">
    <w:panose1 w:val="02010600030101010101"/>
  </w:font>
  <w:font w:name="Arial">
    <w:panose1 w:val="020B0604020202020204"/>
  </w:font>
  <w:font w:name="Calibri">
    <w:panose1 w:val="020F0502020204030204"/>
  </w:font>
  <w:font w:name="微软雅黑">
    <w:panose1 w:val="020B0503020204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93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pPr>
    <w:r>
      <w:rPr>
        <w:rFonts w:hint="eastAsia"/>
        <w:lang w:eastAsia="zh-CN"/>
      </w:rPr>
      <w:t xml:space="preserve">JSZC-321000-SWGC-G2025-0237</w:t>
    </w:r>
    <w:r>
      <w:rPr>
        <w:rFonts w:hint="eastAsia"/>
      </w:rPr>
      <w:t xml:space="preserve">号                                       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pPr>
    <w:r>
      <w:rPr>
        <w:rFonts w:hint="eastAsia"/>
        <w:lang w:eastAsia="zh-CN"/>
      </w:rPr>
      <w:t xml:space="preserve">JSZC-321000-SWGC-G2025-0237</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第%1章"/>
      <w:lvlJc w:val="center"/>
      <w:pPr>
        <w:ind w:left="0" w:firstLine="0"/>
      </w:pPr>
      <w:rPr>
        <w:rFonts w:hint="default" w:eastAsia="宋体" w:asciiTheme="minorEastAsia"/>
        <w:b/>
        <w:i w:val="0"/>
        <w:sz w:val="36"/>
      </w:rPr>
    </w:lvl>
    <w:lvl w:ilvl="1">
      <w:start w:val="1"/>
      <w:numFmt w:val="decimal"/>
      <w:pStyle w:val="692"/>
      <w:isLgl w:val="false"/>
      <w:suff w:val="space"/>
      <w:lvlText w:val="%1.%2"/>
      <w:lvlJc w:val="left"/>
      <w:pPr>
        <w:ind w:left="0" w:firstLine="0"/>
      </w:pPr>
      <w:rPr>
        <w:rFonts w:hint="eastAsia" w:eastAsia="宋体"/>
        <w:b/>
        <w:i w:val="0"/>
        <w:sz w:val="32"/>
      </w:rPr>
    </w:lvl>
    <w:lvl w:ilvl="2">
      <w:start w:val="1"/>
      <w:numFmt w:val="decimal"/>
      <w:isLgl w:val="false"/>
      <w:suff w:val="space"/>
      <w:lvlText w:val="%1.%2.%3"/>
      <w:lvlJc w:val="left"/>
      <w:pPr>
        <w:ind w:left="0" w:firstLine="0"/>
      </w:pPr>
      <w:rPr>
        <w:rFonts w:hint="eastAsia" w:eastAsia="宋体"/>
        <w:b/>
        <w:i w:val="0"/>
        <w:sz w:val="28"/>
      </w:rPr>
    </w:lvl>
    <w:lvl w:ilvl="3">
      <w:start w:val="1"/>
      <w:numFmt w:val="decimal"/>
      <w:isLgl w:val="false"/>
      <w:suff w:val="space"/>
      <w:lvlText w:val="%1.%2.%3.%4"/>
      <w:lvlJc w:val="left"/>
      <w:pPr>
        <w:ind w:left="0" w:firstLine="0"/>
      </w:pPr>
      <w:rPr>
        <w:rFonts w:hint="eastAsia" w:ascii="宋体" w:eastAsia="宋体"/>
        <w:b/>
        <w:i w:val="0"/>
        <w:sz w:val="24"/>
      </w:rPr>
    </w:lvl>
    <w:lvl w:ilvl="4">
      <w:start w:val="1"/>
      <w:numFmt w:val="decimal"/>
      <w:isLgl w:val="false"/>
      <w:suff w:val="tab"/>
      <w:lvlText w:val="%1.%2.%3.%4.%5"/>
      <w:lvlJc w:val="left"/>
      <w:pPr>
        <w:ind w:left="1008" w:hanging="1008"/>
      </w:pPr>
      <w:rPr>
        <w:rFonts w:hint="eastAsia" w:eastAsia="宋体"/>
        <w:b/>
        <w:i w:val="0"/>
        <w:sz w:val="24"/>
      </w:rPr>
    </w:lvl>
    <w:lvl w:ilvl="5">
      <w:start w:val="1"/>
      <w:numFmt w:val="decimal"/>
      <w:isLgl w:val="false"/>
      <w:suff w:val="tab"/>
      <w:lvlText w:val="%1.%2.%3.%4.%5.%6"/>
      <w:lvlJc w:val="left"/>
      <w:pPr>
        <w:ind w:left="0" w:firstLine="0"/>
      </w:pPr>
      <w:rPr>
        <w:rFonts w:hint="eastAsia" w:eastAsia="宋体"/>
        <w:b/>
        <w:i w:val="0"/>
        <w:sz w:val="24"/>
      </w:rPr>
    </w:lvl>
    <w:lvl w:ilvl="6">
      <w:start w:val="1"/>
      <w:numFmt w:val="decimal"/>
      <w:isLgl w:val="false"/>
      <w:suff w:val="tab"/>
      <w:lvlText w:val="%1.%2.%3.%4.%5.%6.%7"/>
      <w:lvlJc w:val="left"/>
      <w:pPr>
        <w:ind w:left="0" w:firstLine="0"/>
      </w:pPr>
      <w:rPr>
        <w:rFonts w:hint="eastAsia" w:eastAsia="宋体"/>
        <w:b/>
        <w:i w:val="0"/>
        <w:sz w:val="24"/>
      </w:rPr>
    </w:lvl>
    <w:lvl w:ilvl="7">
      <w:start w:val="1"/>
      <w:numFmt w:val="decimal"/>
      <w:isLgl w:val="false"/>
      <w:suff w:val="tab"/>
      <w:lvlText w:val="%1.%2.%3.%4.%5.%6.%7.%8"/>
      <w:lvlJc w:val="left"/>
      <w:pPr>
        <w:ind w:left="0" w:firstLine="0"/>
      </w:pPr>
      <w:rPr>
        <w:rFonts w:hint="eastAsia" w:eastAsia="宋体"/>
        <w:b/>
        <w:i w:val="0"/>
        <w:sz w:val="24"/>
      </w:rPr>
    </w:lvl>
    <w:lvl w:ilvl="8">
      <w:start w:val="1"/>
      <w:numFmt w:val="decimal"/>
      <w:isLgl w:val="false"/>
      <w:suff w:val="tab"/>
      <w:lvlText w:val="%1.%2.%3.%4.%5.%6.%7.%8.%9"/>
      <w:lvlJc w:val="left"/>
      <w:pPr>
        <w:ind w:left="-32767" w:firstLine="32767"/>
      </w:pPr>
      <w:rPr>
        <w:rFonts w:hint="eastAsia" w:eastAsia="宋体"/>
        <w:b/>
        <w:i w:val="0"/>
        <w:sz w:val="24"/>
      </w:rPr>
    </w:lvl>
  </w:abstractNum>
  <w:abstractNum w:abstractNumId="3">
    <w:multiLevelType w:val="hybridMultilevel"/>
    <w:lvl w:ilvl="0">
      <w:start w:val="1"/>
      <w:numFmt w:val="decimal"/>
      <w:pStyle w:val="691"/>
      <w:isLgl w:val="false"/>
      <w:suff w:val="nothing"/>
      <w:lvlText w:val="%1."/>
      <w:lvlJc w:val="left"/>
      <w:pPr>
        <w:ind w:left="392" w:firstLine="0"/>
      </w:pPr>
      <w:rPr>
        <w:rFonts w:hint="eastAsia" w:ascii="Calibri" w:hAnsi="Calibri" w:eastAsia="宋体" w:cs="Calibri"/>
        <w:b/>
        <w:bCs/>
        <w:i w:val="0"/>
        <w:iCs w:val="0"/>
        <w:caps w:val="0"/>
        <w:smallCaps w:val="0"/>
        <w:strike w:val="0"/>
        <w:spacing w:val="0"/>
        <w:position w:val="0"/>
        <w:highlight w:val="none"/>
        <w:vertAlign w:val="baseline"/>
      </w:rPr>
    </w:lvl>
    <w:lvl w:ilvl="1">
      <w:start w:val="1"/>
      <w:numFmt w:val="decimal"/>
      <w:isLgl w:val="false"/>
      <w:suff w:val="nothing"/>
      <w:lvlText w:val="%1.%2."/>
      <w:lvlJc w:val="left"/>
      <w:pPr>
        <w:ind w:left="968" w:hanging="576"/>
      </w:pPr>
      <w:rPr>
        <w:rFonts w:hint="eastAsia" w:ascii="Calibri" w:hAnsi="Calibri" w:eastAsia="宋体" w:cs="Calibri"/>
        <w:b/>
        <w:bCs/>
        <w:i w:val="0"/>
        <w:iCs w:val="0"/>
        <w:caps w:val="0"/>
        <w:smallCaps w:val="0"/>
        <w:strike w:val="0"/>
        <w:spacing w:val="0"/>
        <w:position w:val="0"/>
        <w:highlight w:val="none"/>
        <w:vertAlign w:val="baseline"/>
      </w:rPr>
    </w:lvl>
    <w:lvl w:ilvl="2">
      <w:start w:val="1"/>
      <w:numFmt w:val="decimal"/>
      <w:isLgl w:val="false"/>
      <w:suff w:val="nothing"/>
      <w:lvlText w:val="%1.%2.%3."/>
      <w:lvlJc w:val="left"/>
      <w:pPr>
        <w:ind w:left="968" w:hanging="576"/>
      </w:pPr>
      <w:rPr>
        <w:rFonts w:hint="eastAsia" w:ascii="Calibri" w:hAnsi="Calibri" w:eastAsia="宋体" w:cs="Calibri"/>
        <w:b/>
        <w:bCs/>
        <w:i w:val="0"/>
        <w:iCs w:val="0"/>
        <w:caps w:val="0"/>
        <w:smallCaps w:val="0"/>
        <w:strike w:val="0"/>
        <w:spacing w:val="0"/>
        <w:position w:val="0"/>
        <w:highlight w:val="none"/>
        <w:vertAlign w:val="baseline"/>
      </w:rPr>
    </w:lvl>
    <w:lvl w:ilvl="3">
      <w:start w:val="1"/>
      <w:numFmt w:val="decimal"/>
      <w:isLgl w:val="false"/>
      <w:suff w:val="nothing"/>
      <w:lvlText w:val="%1.%2.%3.%4."/>
      <w:lvlJc w:val="left"/>
      <w:pPr>
        <w:ind w:left="984" w:hanging="592"/>
      </w:pPr>
      <w:rPr>
        <w:rFonts w:hint="eastAsia" w:ascii="Calibri" w:hAnsi="Calibri" w:eastAsia="宋体" w:cs="Calibri"/>
        <w:b/>
        <w:bCs/>
        <w:i w:val="0"/>
        <w:iCs w:val="0"/>
        <w:caps w:val="0"/>
        <w:smallCaps w:val="0"/>
        <w:strike w:val="0"/>
        <w:spacing w:val="0"/>
        <w:position w:val="0"/>
        <w:highlight w:val="none"/>
        <w:vertAlign w:val="baseline"/>
      </w:rPr>
    </w:lvl>
    <w:lvl w:ilvl="4">
      <w:start w:val="1"/>
      <w:numFmt w:val="decimal"/>
      <w:isLgl w:val="false"/>
      <w:suff w:val="nothing"/>
      <w:lvlText w:val="%1.%2.%3.%4.%5."/>
      <w:lvlJc w:val="left"/>
      <w:pPr>
        <w:ind w:left="1814" w:hanging="1422"/>
      </w:pPr>
      <w:rPr>
        <w:rFonts w:hint="eastAsia" w:ascii="Calibri" w:hAnsi="Calibri" w:eastAsia="宋体" w:cs="Calibri"/>
        <w:b/>
        <w:bCs/>
        <w:i w:val="0"/>
        <w:iCs w:val="0"/>
        <w:caps w:val="0"/>
        <w:smallCaps w:val="0"/>
        <w:strike w:val="0"/>
        <w:spacing w:val="0"/>
        <w:position w:val="0"/>
        <w:highlight w:val="none"/>
        <w:vertAlign w:val="baseline"/>
      </w:rPr>
    </w:lvl>
    <w:lvl w:ilvl="5">
      <w:start w:val="1"/>
      <w:numFmt w:val="decimal"/>
      <w:isLgl w:val="false"/>
      <w:suff w:val="nothing"/>
      <w:lvlText w:val="%1.%2.%3.%4.%5.%6."/>
      <w:lvlJc w:val="left"/>
      <w:pPr>
        <w:ind w:left="1958" w:hanging="1566"/>
      </w:pPr>
      <w:rPr>
        <w:rFonts w:hint="eastAsia" w:ascii="Calibri" w:hAnsi="Calibri" w:eastAsia="宋体" w:cs="Calibri"/>
        <w:b/>
        <w:bCs/>
        <w:i w:val="0"/>
        <w:iCs w:val="0"/>
        <w:caps w:val="0"/>
        <w:smallCaps w:val="0"/>
        <w:strike w:val="0"/>
        <w:spacing w:val="0"/>
        <w:position w:val="0"/>
        <w:highlight w:val="none"/>
        <w:vertAlign w:val="baseline"/>
      </w:rPr>
    </w:lvl>
    <w:lvl w:ilvl="6">
      <w:start w:val="1"/>
      <w:numFmt w:val="decimal"/>
      <w:isLgl w:val="false"/>
      <w:suff w:val="nothing"/>
      <w:lvlText w:val="%1.%2.%3.%4.%5.%6.%7."/>
      <w:lvlJc w:val="left"/>
      <w:pPr>
        <w:ind w:left="2102" w:hanging="1710"/>
      </w:pPr>
      <w:rPr>
        <w:rFonts w:hint="eastAsia" w:ascii="Calibri" w:hAnsi="Calibri" w:eastAsia="宋体" w:cs="Calibri"/>
        <w:b/>
        <w:bCs/>
        <w:i w:val="0"/>
        <w:iCs w:val="0"/>
        <w:caps w:val="0"/>
        <w:smallCaps w:val="0"/>
        <w:strike w:val="0"/>
        <w:spacing w:val="0"/>
        <w:position w:val="0"/>
        <w:highlight w:val="none"/>
        <w:vertAlign w:val="baseline"/>
      </w:rPr>
    </w:lvl>
    <w:lvl w:ilvl="7">
      <w:start w:val="1"/>
      <w:numFmt w:val="decimal"/>
      <w:isLgl w:val="false"/>
      <w:suff w:val="nothing"/>
      <w:lvlText w:val="%1.%2.%3.%4.%5.%6.%7.%8."/>
      <w:lvlJc w:val="left"/>
      <w:pPr>
        <w:ind w:left="2246" w:hanging="1854"/>
      </w:pPr>
      <w:rPr>
        <w:rFonts w:hint="eastAsia" w:ascii="Calibri" w:hAnsi="Calibri" w:eastAsia="宋体" w:cs="Calibri"/>
        <w:b/>
        <w:bCs/>
        <w:i w:val="0"/>
        <w:iCs w:val="0"/>
        <w:caps w:val="0"/>
        <w:smallCaps w:val="0"/>
        <w:strike w:val="0"/>
        <w:spacing w:val="0"/>
        <w:position w:val="0"/>
        <w:highlight w:val="none"/>
        <w:vertAlign w:val="baseline"/>
      </w:rPr>
    </w:lvl>
    <w:lvl w:ilvl="8">
      <w:start w:val="1"/>
      <w:numFmt w:val="decimal"/>
      <w:isLgl w:val="false"/>
      <w:suff w:val="nothing"/>
      <w:lvlText w:val="%1.%2.%3.%4.%5.%6.%7.%8.%9."/>
      <w:lvlJc w:val="left"/>
      <w:pPr>
        <w:ind w:left="2390" w:hanging="1998"/>
      </w:pPr>
      <w:rPr>
        <w:rFonts w:hint="eastAsia" w:ascii="Calibri" w:hAnsi="Calibri" w:eastAsia="宋体" w:cs="Calibri"/>
        <w:b/>
        <w:bCs/>
        <w:i w:val="0"/>
        <w:iCs w:val="0"/>
        <w:caps w:val="0"/>
        <w:smallCaps w:val="0"/>
        <w:strike w:val="0"/>
        <w:spacing w:val="0"/>
        <w:position w:val="0"/>
        <w:highlight w:val="none"/>
        <w:vertAlign w:val="baseline"/>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440" w:hanging="440"/>
      </w:pPr>
      <w:rPr>
        <w:rFonts w:hint="eastAsia" w:eastAsia="宋体"/>
        <w:color w:val="000000" w:themeColor="text1"/>
        <w14:textFill>
          <w14:solidFill>
            <w14:schemeClr w14:val="tx1"/>
          </w14:solidFill>
        </w14:textFill>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pStyle w:val="950"/>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5"/>
  </w:num>
  <w:num w:numId="6">
    <w:abstractNumId w:val="6"/>
  </w:num>
  <w:num w:numId="7">
    <w:abstractNumId w:val="8"/>
  </w:num>
  <w:num w:numId="8">
    <w:abstractNumId w:val="4"/>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9"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680">
    <w:name w:val="Heading 1"/>
    <w:basedOn w:val="691"/>
    <w:next w:val="679"/>
    <w:link w:val="767"/>
    <w:uiPriority w:val="9"/>
    <w:qFormat/>
    <w:pPr>
      <w:keepLines/>
      <w:keepNext/>
      <w:outlineLvl w:val="0"/>
    </w:pPr>
    <w:rPr>
      <w:rFonts w:ascii="Arial" w:hAnsi="Arial" w:cs="Arial"/>
      <w:sz w:val="30"/>
      <w:szCs w:val="40"/>
    </w:rPr>
  </w:style>
  <w:style w:type="paragraph" w:styleId="681">
    <w:name w:val="Heading 2"/>
    <w:basedOn w:val="692"/>
    <w:next w:val="679"/>
    <w:link w:val="768"/>
    <w:uiPriority w:val="9"/>
    <w:unhideWhenUsed/>
    <w:qFormat/>
    <w:pPr>
      <w:keepLines/>
      <w:keepNext/>
      <w:spacing w:before="360" w:after="200"/>
      <w:outlineLvl w:val="1"/>
    </w:pPr>
    <w:rPr>
      <w:rFonts w:ascii="Arial" w:hAnsi="Arial" w:eastAsia="Arial" w:cs="Arial"/>
      <w:sz w:val="34"/>
    </w:rPr>
  </w:style>
  <w:style w:type="paragraph" w:styleId="682">
    <w:name w:val="Heading 3"/>
    <w:basedOn w:val="679"/>
    <w:next w:val="679"/>
    <w:link w:val="769"/>
    <w:uiPriority w:val="9"/>
    <w:unhideWhenUsed/>
    <w:qFormat/>
    <w:pPr>
      <w:keepLines/>
      <w:keepNext/>
      <w:spacing w:before="320" w:after="200"/>
      <w:outlineLvl w:val="2"/>
    </w:pPr>
    <w:rPr>
      <w:rFonts w:ascii="Arial" w:hAnsi="Arial" w:eastAsia="Arial" w:cs="Arial"/>
      <w:sz w:val="30"/>
      <w:szCs w:val="30"/>
    </w:rPr>
  </w:style>
  <w:style w:type="paragraph" w:styleId="683">
    <w:name w:val="Heading 4"/>
    <w:basedOn w:val="679"/>
    <w:next w:val="679"/>
    <w:link w:val="770"/>
    <w:uiPriority w:val="9"/>
    <w:unhideWhenUsed/>
    <w:qFormat/>
    <w:pPr>
      <w:keepLines/>
      <w:keepNext/>
      <w:spacing w:before="320" w:after="200"/>
      <w:outlineLvl w:val="3"/>
    </w:pPr>
    <w:rPr>
      <w:rFonts w:ascii="Arial" w:hAnsi="Arial" w:eastAsia="Arial" w:cs="Arial"/>
      <w:b/>
      <w:bCs/>
      <w:sz w:val="26"/>
      <w:szCs w:val="26"/>
    </w:rPr>
  </w:style>
  <w:style w:type="paragraph" w:styleId="684">
    <w:name w:val="Heading 5"/>
    <w:basedOn w:val="679"/>
    <w:next w:val="679"/>
    <w:link w:val="771"/>
    <w:uiPriority w:val="9"/>
    <w:unhideWhenUsed/>
    <w:qFormat/>
    <w:pPr>
      <w:keepLines/>
      <w:keepNext/>
      <w:spacing w:before="320" w:after="200"/>
      <w:outlineLvl w:val="4"/>
    </w:pPr>
    <w:rPr>
      <w:rFonts w:ascii="Arial" w:hAnsi="Arial" w:eastAsia="Arial" w:cs="Arial"/>
      <w:b/>
      <w:bCs/>
      <w:sz w:val="24"/>
      <w:szCs w:val="24"/>
    </w:rPr>
  </w:style>
  <w:style w:type="paragraph" w:styleId="685">
    <w:name w:val="Heading 6"/>
    <w:basedOn w:val="679"/>
    <w:next w:val="679"/>
    <w:link w:val="772"/>
    <w:uiPriority w:val="9"/>
    <w:unhideWhenUsed/>
    <w:qFormat/>
    <w:pPr>
      <w:keepLines/>
      <w:keepNext/>
      <w:spacing w:before="320" w:after="200"/>
      <w:outlineLvl w:val="5"/>
    </w:pPr>
    <w:rPr>
      <w:rFonts w:ascii="Arial" w:hAnsi="Arial" w:eastAsia="Arial" w:cs="Arial"/>
      <w:b/>
      <w:bCs/>
      <w:sz w:val="22"/>
    </w:rPr>
  </w:style>
  <w:style w:type="paragraph" w:styleId="686">
    <w:name w:val="Heading 7"/>
    <w:basedOn w:val="679"/>
    <w:next w:val="679"/>
    <w:link w:val="773"/>
    <w:uiPriority w:val="9"/>
    <w:unhideWhenUsed/>
    <w:qFormat/>
    <w:pPr>
      <w:keepLines/>
      <w:keepNext/>
      <w:spacing w:before="320" w:after="200"/>
      <w:outlineLvl w:val="6"/>
    </w:pPr>
    <w:rPr>
      <w:rFonts w:ascii="Arial" w:hAnsi="Arial" w:eastAsia="Arial" w:cs="Arial"/>
      <w:b/>
      <w:bCs/>
      <w:i/>
      <w:iCs/>
      <w:sz w:val="22"/>
    </w:rPr>
  </w:style>
  <w:style w:type="paragraph" w:styleId="687">
    <w:name w:val="Heading 8"/>
    <w:basedOn w:val="679"/>
    <w:next w:val="679"/>
    <w:link w:val="774"/>
    <w:uiPriority w:val="9"/>
    <w:unhideWhenUsed/>
    <w:qFormat/>
    <w:pPr>
      <w:keepLines/>
      <w:keepNext/>
      <w:spacing w:before="320" w:after="200"/>
      <w:outlineLvl w:val="7"/>
    </w:pPr>
    <w:rPr>
      <w:rFonts w:ascii="Arial" w:hAnsi="Arial" w:eastAsia="Arial" w:cs="Arial"/>
      <w:i/>
      <w:iCs/>
      <w:sz w:val="22"/>
    </w:rPr>
  </w:style>
  <w:style w:type="paragraph" w:styleId="688">
    <w:name w:val="Heading 9"/>
    <w:basedOn w:val="679"/>
    <w:next w:val="679"/>
    <w:link w:val="775"/>
    <w:uiPriority w:val="9"/>
    <w:unhideWhenUsed/>
    <w:qFormat/>
    <w:pPr>
      <w:keepLines/>
      <w:keepNext/>
      <w:spacing w:before="320" w:after="200"/>
      <w:outlineLvl w:val="8"/>
    </w:pPr>
    <w:rPr>
      <w:rFonts w:ascii="Arial" w:hAnsi="Arial" w:eastAsia="Arial" w:cs="Arial"/>
      <w:i/>
      <w:iCs/>
      <w:szCs w:val="21"/>
    </w:rPr>
  </w:style>
  <w:style w:type="character" w:styleId="689" w:default="1">
    <w:name w:val="Default Paragraph Font"/>
    <w:uiPriority w:val="1"/>
    <w:semiHidden/>
    <w:unhideWhenUsed/>
    <w:qFormat/>
  </w:style>
  <w:style w:type="table" w:styleId="690" w:default="1">
    <w:name w:val="Normal Table"/>
    <w:uiPriority w:val="99"/>
    <w:semiHidden/>
    <w:unhideWhenUsed/>
    <w:qFormat/>
    <w:tblPr>
      <w:tblCellMar>
        <w:left w:w="108" w:type="dxa"/>
        <w:top w:w="0" w:type="dxa"/>
        <w:right w:w="108" w:type="dxa"/>
        <w:bottom w:w="0" w:type="dxa"/>
      </w:tblCellMar>
    </w:tblPr>
  </w:style>
  <w:style w:type="paragraph" w:styleId="691" w:customStyle="1">
    <w:name w:val="1级标题"/>
    <w:basedOn w:val="679"/>
    <w:next w:val="679"/>
    <w:uiPriority w:val="0"/>
    <w:qFormat/>
    <w:pPr>
      <w:numPr>
        <w:ilvl w:val="0"/>
        <w:numId w:val="1"/>
      </w:numPr>
      <w:jc w:val="center"/>
      <w:spacing w:line="360" w:lineRule="auto"/>
    </w:pPr>
    <w:rPr>
      <w:b/>
      <w:sz w:val="36"/>
    </w:rPr>
  </w:style>
  <w:style w:type="paragraph" w:styleId="692" w:customStyle="1">
    <w:name w:val="2级标题"/>
    <w:basedOn w:val="679"/>
    <w:uiPriority w:val="0"/>
    <w:qFormat/>
    <w:pPr>
      <w:numPr>
        <w:ilvl w:val="1"/>
        <w:numId w:val="2"/>
      </w:numPr>
      <w:spacing w:line="360" w:lineRule="auto"/>
    </w:pPr>
    <w:rPr>
      <w:b/>
      <w:sz w:val="32"/>
    </w:rPr>
  </w:style>
  <w:style w:type="paragraph" w:styleId="693">
    <w:name w:val="toc 7"/>
    <w:basedOn w:val="679"/>
    <w:next w:val="679"/>
    <w:uiPriority w:val="39"/>
    <w:unhideWhenUsed/>
    <w:qFormat/>
    <w:pPr>
      <w:ind w:left="1701"/>
      <w:spacing w:after="57"/>
    </w:pPr>
  </w:style>
  <w:style w:type="paragraph" w:styleId="694">
    <w:name w:val="table of authorities"/>
    <w:basedOn w:val="679"/>
    <w:next w:val="679"/>
    <w:uiPriority w:val="0"/>
    <w:qFormat/>
    <w:pPr>
      <w:ind w:left="420"/>
    </w:pPr>
  </w:style>
  <w:style w:type="paragraph" w:styleId="695">
    <w:name w:val="Caption"/>
    <w:basedOn w:val="679"/>
    <w:next w:val="6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6">
    <w:name w:val="annotation text"/>
    <w:basedOn w:val="679"/>
    <w:link w:val="975"/>
    <w:uiPriority w:val="99"/>
    <w:semiHidden/>
    <w:unhideWhenUsed/>
    <w:qFormat/>
    <w:pPr>
      <w:jc w:val="left"/>
    </w:pPr>
  </w:style>
  <w:style w:type="paragraph" w:styleId="697">
    <w:name w:val="Body Text"/>
    <w:basedOn w:val="679"/>
    <w:uiPriority w:val="99"/>
    <w:unhideWhenUsed/>
    <w:qFormat/>
    <w:pPr>
      <w:spacing w:after="120"/>
    </w:pPr>
  </w:style>
  <w:style w:type="paragraph" w:styleId="698">
    <w:name w:val="Body Text Indent"/>
    <w:basedOn w:val="679"/>
    <w:next w:val="699"/>
    <w:uiPriority w:val="0"/>
    <w:qFormat/>
    <w:pPr>
      <w:ind w:left="420"/>
      <w:spacing w:after="120"/>
    </w:pPr>
    <w:rPr>
      <w:rFonts w:ascii="等线" w:hAnsi="等线" w:eastAsia="等线"/>
    </w:rPr>
  </w:style>
  <w:style w:type="paragraph" w:styleId="699">
    <w:name w:val="envelope return"/>
    <w:basedOn w:val="679"/>
    <w:uiPriority w:val="0"/>
    <w:qFormat/>
    <w:rPr>
      <w:rFonts w:ascii="Arial" w:hAnsi="Arial"/>
    </w:rPr>
  </w:style>
  <w:style w:type="paragraph" w:styleId="700">
    <w:name w:val="toc 5"/>
    <w:basedOn w:val="679"/>
    <w:next w:val="679"/>
    <w:uiPriority w:val="39"/>
    <w:unhideWhenUsed/>
    <w:qFormat/>
    <w:pPr>
      <w:ind w:left="1134"/>
      <w:spacing w:after="57"/>
    </w:pPr>
  </w:style>
  <w:style w:type="paragraph" w:styleId="701">
    <w:name w:val="toc 3"/>
    <w:basedOn w:val="679"/>
    <w:next w:val="679"/>
    <w:uiPriority w:val="39"/>
    <w:unhideWhenUsed/>
    <w:qFormat/>
    <w:pPr>
      <w:ind w:left="567"/>
      <w:spacing w:after="57"/>
    </w:pPr>
  </w:style>
  <w:style w:type="paragraph" w:styleId="702">
    <w:name w:val="toc 8"/>
    <w:basedOn w:val="679"/>
    <w:next w:val="679"/>
    <w:uiPriority w:val="39"/>
    <w:unhideWhenUsed/>
    <w:qFormat/>
    <w:pPr>
      <w:ind w:left="1984"/>
      <w:spacing w:after="57"/>
    </w:pPr>
  </w:style>
  <w:style w:type="paragraph" w:styleId="703">
    <w:name w:val="endnote text"/>
    <w:basedOn w:val="679"/>
    <w:link w:val="913"/>
    <w:uiPriority w:val="99"/>
    <w:semiHidden/>
    <w:unhideWhenUsed/>
    <w:qFormat/>
    <w:rPr>
      <w:sz w:val="20"/>
    </w:rPr>
  </w:style>
  <w:style w:type="paragraph" w:styleId="704">
    <w:name w:val="Footer"/>
    <w:basedOn w:val="679"/>
    <w:link w:val="786"/>
    <w:uiPriority w:val="99"/>
    <w:unhideWhenUsed/>
    <w:qFormat/>
    <w:pPr>
      <w:tabs>
        <w:tab w:val="center" w:pos="7143" w:leader="none"/>
        <w:tab w:val="right" w:pos="14287" w:leader="none"/>
      </w:tabs>
    </w:pPr>
  </w:style>
  <w:style w:type="paragraph" w:styleId="705">
    <w:name w:val="Header"/>
    <w:basedOn w:val="679"/>
    <w:link w:val="784"/>
    <w:uiPriority w:val="99"/>
    <w:unhideWhenUsed/>
    <w:qFormat/>
    <w:pPr>
      <w:tabs>
        <w:tab w:val="center" w:pos="7143" w:leader="none"/>
        <w:tab w:val="right" w:pos="14287" w:leader="none"/>
      </w:tabs>
    </w:pPr>
  </w:style>
  <w:style w:type="paragraph" w:styleId="706">
    <w:name w:val="toc 1"/>
    <w:basedOn w:val="679"/>
    <w:next w:val="679"/>
    <w:uiPriority w:val="39"/>
    <w:unhideWhenUsed/>
    <w:qFormat/>
    <w:pPr>
      <w:spacing w:after="57"/>
    </w:pPr>
  </w:style>
  <w:style w:type="paragraph" w:styleId="707">
    <w:name w:val="toc 4"/>
    <w:basedOn w:val="679"/>
    <w:next w:val="679"/>
    <w:uiPriority w:val="39"/>
    <w:unhideWhenUsed/>
    <w:qFormat/>
    <w:pPr>
      <w:ind w:left="850"/>
      <w:spacing w:after="57"/>
    </w:pPr>
  </w:style>
  <w:style w:type="paragraph" w:styleId="708">
    <w:name w:val="Subtitle"/>
    <w:basedOn w:val="679"/>
    <w:next w:val="679"/>
    <w:link w:val="779"/>
    <w:uiPriority w:val="11"/>
    <w:qFormat/>
    <w:pPr>
      <w:spacing w:before="200" w:after="200"/>
    </w:pPr>
    <w:rPr>
      <w:sz w:val="24"/>
      <w:szCs w:val="24"/>
    </w:rPr>
  </w:style>
  <w:style w:type="paragraph" w:styleId="709">
    <w:name w:val="footnote text"/>
    <w:basedOn w:val="679"/>
    <w:link w:val="912"/>
    <w:uiPriority w:val="99"/>
    <w:semiHidden/>
    <w:unhideWhenUsed/>
    <w:qFormat/>
    <w:pPr>
      <w:spacing w:after="40"/>
    </w:pPr>
    <w:rPr>
      <w:sz w:val="18"/>
    </w:rPr>
  </w:style>
  <w:style w:type="paragraph" w:styleId="710">
    <w:name w:val="toc 6"/>
    <w:basedOn w:val="679"/>
    <w:next w:val="679"/>
    <w:uiPriority w:val="39"/>
    <w:unhideWhenUsed/>
    <w:qFormat/>
    <w:pPr>
      <w:ind w:left="1417"/>
      <w:spacing w:after="57"/>
    </w:pPr>
  </w:style>
  <w:style w:type="paragraph" w:styleId="711">
    <w:name w:val="table of figures"/>
    <w:basedOn w:val="679"/>
    <w:next w:val="679"/>
    <w:uiPriority w:val="99"/>
    <w:unhideWhenUsed/>
    <w:qFormat/>
  </w:style>
  <w:style w:type="paragraph" w:styleId="712">
    <w:name w:val="toc 2"/>
    <w:basedOn w:val="679"/>
    <w:next w:val="679"/>
    <w:uiPriority w:val="39"/>
    <w:unhideWhenUsed/>
    <w:qFormat/>
    <w:pPr>
      <w:ind w:left="283"/>
      <w:spacing w:after="57"/>
    </w:pPr>
  </w:style>
  <w:style w:type="paragraph" w:styleId="713">
    <w:name w:val="toc 9"/>
    <w:basedOn w:val="679"/>
    <w:next w:val="679"/>
    <w:uiPriority w:val="39"/>
    <w:unhideWhenUsed/>
    <w:qFormat/>
    <w:pPr>
      <w:ind w:left="2268"/>
      <w:spacing w:after="57"/>
    </w:pPr>
  </w:style>
  <w:style w:type="paragraph" w:styleId="714">
    <w:name w:val="Normal (Web)"/>
    <w:basedOn w:val="679"/>
    <w:uiPriority w:val="99"/>
    <w:semiHidden/>
    <w:unhideWhenUsed/>
    <w:qFormat/>
    <w:pPr>
      <w:jc w:val="left"/>
      <w:spacing w:beforeAutospacing="1" w:afterAutospacing="1"/>
    </w:pPr>
    <w:rPr>
      <w:sz w:val="24"/>
    </w:rPr>
  </w:style>
  <w:style w:type="paragraph" w:styleId="715">
    <w:name w:val="Title"/>
    <w:basedOn w:val="679"/>
    <w:next w:val="679"/>
    <w:link w:val="778"/>
    <w:uiPriority w:val="10"/>
    <w:qFormat/>
    <w:pPr>
      <w:contextualSpacing/>
      <w:spacing w:before="300" w:after="200"/>
    </w:pPr>
    <w:rPr>
      <w:sz w:val="48"/>
      <w:szCs w:val="48"/>
    </w:rPr>
  </w:style>
  <w:style w:type="paragraph" w:styleId="716">
    <w:name w:val="annotation subject"/>
    <w:basedOn w:val="696"/>
    <w:next w:val="696"/>
    <w:link w:val="976"/>
    <w:uiPriority w:val="99"/>
    <w:semiHidden/>
    <w:unhideWhenUsed/>
    <w:qFormat/>
    <w:rPr>
      <w:b/>
      <w:bCs/>
    </w:rPr>
  </w:style>
  <w:style w:type="table" w:styleId="71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8">
    <w:name w:val="Strong"/>
    <w:basedOn w:val="689"/>
    <w:uiPriority w:val="22"/>
    <w:qFormat/>
    <w:rPr>
      <w:b/>
    </w:rPr>
  </w:style>
  <w:style w:type="character" w:styleId="719">
    <w:name w:val="endnote reference"/>
    <w:uiPriority w:val="99"/>
    <w:semiHidden/>
    <w:unhideWhenUsed/>
    <w:qFormat/>
    <w:rPr>
      <w:vertAlign w:val="superscript"/>
    </w:rPr>
  </w:style>
  <w:style w:type="character" w:styleId="720">
    <w:name w:val="Emphasis"/>
    <w:basedOn w:val="689"/>
    <w:uiPriority w:val="20"/>
    <w:qFormat/>
    <w:rPr>
      <w:i/>
    </w:rPr>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annotation reference"/>
    <w:basedOn w:val="689"/>
    <w:uiPriority w:val="99"/>
    <w:semiHidden/>
    <w:unhideWhenUsed/>
    <w:qFormat/>
    <w:rPr>
      <w:sz w:val="21"/>
      <w:szCs w:val="21"/>
    </w:rPr>
  </w:style>
  <w:style w:type="character" w:styleId="723">
    <w:name w:val="footnote reference"/>
    <w:uiPriority w:val="99"/>
    <w:unhideWhenUsed/>
    <w:qFormat/>
    <w:rPr>
      <w:vertAlign w:val="superscript"/>
    </w:rPr>
  </w:style>
  <w:style w:type="character" w:styleId="724" w:customStyle="1">
    <w:name w:val="Heading 1 Char"/>
    <w:basedOn w:val="689"/>
    <w:uiPriority w:val="9"/>
    <w:qFormat/>
    <w:rPr>
      <w:rFonts w:ascii="Arial" w:hAnsi="Arial" w:eastAsia="Arial" w:cs="Arial"/>
      <w:sz w:val="40"/>
      <w:szCs w:val="40"/>
    </w:rPr>
  </w:style>
  <w:style w:type="character" w:styleId="725" w:customStyle="1">
    <w:name w:val="Heading 2 Char"/>
    <w:basedOn w:val="689"/>
    <w:uiPriority w:val="9"/>
    <w:qFormat/>
    <w:rPr>
      <w:rFonts w:ascii="Arial" w:hAnsi="Arial" w:eastAsia="Arial" w:cs="Arial"/>
      <w:sz w:val="34"/>
    </w:rPr>
  </w:style>
  <w:style w:type="character" w:styleId="726" w:customStyle="1">
    <w:name w:val="Heading 3 Char"/>
    <w:basedOn w:val="689"/>
    <w:uiPriority w:val="9"/>
    <w:qFormat/>
    <w:rPr>
      <w:rFonts w:ascii="Arial" w:hAnsi="Arial" w:eastAsia="Arial" w:cs="Arial"/>
      <w:sz w:val="30"/>
      <w:szCs w:val="30"/>
    </w:rPr>
  </w:style>
  <w:style w:type="character" w:styleId="727" w:customStyle="1">
    <w:name w:val="Heading 4 Char"/>
    <w:basedOn w:val="689"/>
    <w:uiPriority w:val="9"/>
    <w:qFormat/>
    <w:rPr>
      <w:rFonts w:ascii="Arial" w:hAnsi="Arial" w:eastAsia="Arial" w:cs="Arial"/>
      <w:b/>
      <w:bCs/>
      <w:sz w:val="26"/>
      <w:szCs w:val="26"/>
    </w:rPr>
  </w:style>
  <w:style w:type="character" w:styleId="728" w:customStyle="1">
    <w:name w:val="Heading 5 Char"/>
    <w:basedOn w:val="689"/>
    <w:uiPriority w:val="9"/>
    <w:qFormat/>
    <w:rPr>
      <w:rFonts w:ascii="Arial" w:hAnsi="Arial" w:eastAsia="Arial" w:cs="Arial"/>
      <w:b/>
      <w:bCs/>
      <w:sz w:val="24"/>
      <w:szCs w:val="24"/>
    </w:rPr>
  </w:style>
  <w:style w:type="character" w:styleId="729" w:customStyle="1">
    <w:name w:val="Heading 6 Char"/>
    <w:basedOn w:val="689"/>
    <w:uiPriority w:val="9"/>
    <w:qFormat/>
    <w:rPr>
      <w:rFonts w:ascii="Arial" w:hAnsi="Arial" w:eastAsia="Arial" w:cs="Arial"/>
      <w:b/>
      <w:bCs/>
      <w:sz w:val="22"/>
      <w:szCs w:val="22"/>
    </w:rPr>
  </w:style>
  <w:style w:type="character" w:styleId="730" w:customStyle="1">
    <w:name w:val="Heading 7 Char"/>
    <w:basedOn w:val="689"/>
    <w:uiPriority w:val="9"/>
    <w:qFormat/>
    <w:rPr>
      <w:rFonts w:ascii="Arial" w:hAnsi="Arial" w:eastAsia="Arial" w:cs="Arial"/>
      <w:b/>
      <w:bCs/>
      <w:i/>
      <w:iCs/>
      <w:sz w:val="22"/>
      <w:szCs w:val="22"/>
    </w:rPr>
  </w:style>
  <w:style w:type="character" w:styleId="731" w:customStyle="1">
    <w:name w:val="Heading 8 Char"/>
    <w:basedOn w:val="689"/>
    <w:uiPriority w:val="9"/>
    <w:qFormat/>
    <w:rPr>
      <w:rFonts w:ascii="Arial" w:hAnsi="Arial" w:eastAsia="Arial" w:cs="Arial"/>
      <w:i/>
      <w:iCs/>
      <w:sz w:val="22"/>
      <w:szCs w:val="22"/>
    </w:rPr>
  </w:style>
  <w:style w:type="character" w:styleId="732" w:customStyle="1">
    <w:name w:val="Heading 9 Char"/>
    <w:basedOn w:val="689"/>
    <w:uiPriority w:val="9"/>
    <w:qFormat/>
    <w:rPr>
      <w:rFonts w:ascii="Arial" w:hAnsi="Arial" w:eastAsia="Arial" w:cs="Arial"/>
      <w:i/>
      <w:iCs/>
      <w:sz w:val="21"/>
      <w:szCs w:val="21"/>
    </w:rPr>
  </w:style>
  <w:style w:type="character" w:styleId="733" w:customStyle="1">
    <w:name w:val="Title Char"/>
    <w:basedOn w:val="689"/>
    <w:uiPriority w:val="10"/>
    <w:qFormat/>
    <w:rPr>
      <w:sz w:val="48"/>
      <w:szCs w:val="48"/>
    </w:rPr>
  </w:style>
  <w:style w:type="character" w:styleId="734" w:customStyle="1">
    <w:name w:val="Subtitle Char"/>
    <w:basedOn w:val="689"/>
    <w:uiPriority w:val="11"/>
    <w:qFormat/>
    <w:rPr>
      <w:sz w:val="24"/>
      <w:szCs w:val="24"/>
    </w:rPr>
  </w:style>
  <w:style w:type="character" w:styleId="735" w:customStyle="1">
    <w:name w:val="Quote Char"/>
    <w:uiPriority w:val="29"/>
    <w:qFormat/>
    <w:rPr>
      <w:i/>
    </w:rPr>
  </w:style>
  <w:style w:type="character" w:styleId="736" w:customStyle="1">
    <w:name w:val="Intense Quote Char"/>
    <w:uiPriority w:val="30"/>
    <w:qFormat/>
    <w:rPr>
      <w:i/>
    </w:rPr>
  </w:style>
  <w:style w:type="character" w:styleId="737" w:customStyle="1">
    <w:name w:val="Header Char"/>
    <w:basedOn w:val="689"/>
    <w:uiPriority w:val="99"/>
    <w:qFormat/>
  </w:style>
  <w:style w:type="character" w:styleId="738" w:customStyle="1">
    <w:name w:val="Caption Char"/>
    <w:uiPriority w:val="99"/>
    <w:qFormat/>
  </w:style>
  <w:style w:type="table" w:styleId="739" w:customStyle="1">
    <w:name w:val="Plain Table 1"/>
    <w:basedOn w:val="69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69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69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69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3"/>
    <w:basedOn w:val="69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basedOn w:val="69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5 Dark"/>
    <w:basedOn w:val="69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6 Colorful"/>
    <w:basedOn w:val="69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7 Colorful"/>
    <w:basedOn w:val="69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List Table 1 Light"/>
    <w:basedOn w:val="69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2"/>
    <w:basedOn w:val="69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3"/>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4"/>
    <w:basedOn w:val="69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5 Dark"/>
    <w:basedOn w:val="69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6 Colorful"/>
    <w:basedOn w:val="69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7" w:customStyle="1">
    <w:name w:val="List Table 7 Colorful"/>
    <w:basedOn w:val="69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paragraph" w:styleId="760" w:customStyle="1">
    <w:name w:val="TOC Heading"/>
    <w:uiPriority w:val="39"/>
    <w:unhideWhenUsed/>
    <w:qFormat/>
    <w:rPr>
      <w:rFonts w:hint="default" w:ascii="Times New Roman" w:hAnsi="Times New Roman" w:eastAsia="宋体" w:cs="Times New Roman"/>
    </w:rPr>
  </w:style>
  <w:style w:type="paragraph" w:styleId="761" w:customStyle="1">
    <w:name w:val="段"/>
    <w:basedOn w:val="762"/>
    <w:next w:val="679"/>
    <w:uiPriority w:val="0"/>
    <w:qFormat/>
    <w:pPr>
      <w:ind w:firstLine="200"/>
      <w:widowControl/>
    </w:pPr>
    <w:rPr>
      <w:sz w:val="20"/>
    </w:rPr>
  </w:style>
  <w:style w:type="paragraph" w:styleId="762" w:customStyle="1">
    <w:name w:val="正文1"/>
    <w:basedOn w:val="679"/>
    <w:next w:val="763"/>
    <w:uiPriority w:val="0"/>
    <w:qFormat/>
    <w:pPr>
      <w:jc w:val="left"/>
      <w:spacing w:line="360" w:lineRule="atLeast"/>
    </w:pPr>
    <w:rPr>
      <w:rFonts w:ascii="宋体" w:cs="Arial"/>
      <w:sz w:val="24"/>
      <w:szCs w:val="20"/>
    </w:rPr>
  </w:style>
  <w:style w:type="paragraph" w:styleId="763" w:customStyle="1">
    <w:name w:val="正文文本1"/>
    <w:basedOn w:val="762"/>
    <w:next w:val="764"/>
    <w:uiPriority w:val="0"/>
    <w:qFormat/>
    <w:pPr>
      <w:spacing w:after="120"/>
    </w:pPr>
    <w:rPr>
      <w:lang w:eastAsia="en-US"/>
    </w:rPr>
  </w:style>
  <w:style w:type="paragraph" w:styleId="764" w:customStyle="1">
    <w:name w:val="一级条标题"/>
    <w:basedOn w:val="765"/>
    <w:next w:val="76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65" w:customStyle="1">
    <w:name w:val="章标题"/>
    <w:next w:val="67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66" w:customStyle="1">
    <w:name w:val="Default"/>
    <w:next w:val="679"/>
    <w:uiPriority w:val="0"/>
    <w:qFormat/>
    <w:pPr>
      <w:widowControl w:val="off"/>
    </w:pPr>
    <w:rPr>
      <w:rFonts w:hint="default" w:ascii="黑体" w:hAnsi="Times New Roman" w:eastAsia="黑体" w:cs="Times New Roman"/>
      <w:lang w:val="en-US" w:eastAsia="zh-CN" w:bidi="ar-SA"/>
    </w:rPr>
  </w:style>
  <w:style w:type="character" w:styleId="767" w:customStyle="1">
    <w:name w:val="标题 1 字符"/>
    <w:link w:val="680"/>
    <w:uiPriority w:val="9"/>
    <w:qFormat/>
    <w:rPr>
      <w:rFonts w:ascii="Arial" w:hAnsi="Arial" w:eastAsia="宋体" w:cs="Arial"/>
      <w:b/>
      <w:sz w:val="30"/>
      <w:szCs w:val="40"/>
    </w:rPr>
  </w:style>
  <w:style w:type="character" w:styleId="768" w:customStyle="1">
    <w:name w:val="标题 2 字符"/>
    <w:link w:val="681"/>
    <w:uiPriority w:val="9"/>
    <w:qFormat/>
    <w:rPr>
      <w:rFonts w:ascii="Arial" w:hAnsi="Arial" w:eastAsia="Arial" w:cs="Arial"/>
      <w:sz w:val="34"/>
    </w:rPr>
  </w:style>
  <w:style w:type="character" w:styleId="769" w:customStyle="1">
    <w:name w:val="标题 3 字符"/>
    <w:link w:val="682"/>
    <w:uiPriority w:val="9"/>
    <w:qFormat/>
    <w:rPr>
      <w:rFonts w:ascii="Arial" w:hAnsi="Arial" w:eastAsia="Arial" w:cs="Arial"/>
      <w:sz w:val="30"/>
      <w:szCs w:val="30"/>
    </w:rPr>
  </w:style>
  <w:style w:type="character" w:styleId="770" w:customStyle="1">
    <w:name w:val="标题 4 字符"/>
    <w:link w:val="683"/>
    <w:uiPriority w:val="9"/>
    <w:qFormat/>
    <w:rPr>
      <w:rFonts w:ascii="Arial" w:hAnsi="Arial" w:eastAsia="Arial" w:cs="Arial"/>
      <w:b/>
      <w:bCs/>
      <w:sz w:val="26"/>
      <w:szCs w:val="26"/>
    </w:rPr>
  </w:style>
  <w:style w:type="character" w:styleId="771" w:customStyle="1">
    <w:name w:val="标题 5 字符"/>
    <w:link w:val="684"/>
    <w:uiPriority w:val="9"/>
    <w:qFormat/>
    <w:rPr>
      <w:rFonts w:ascii="Arial" w:hAnsi="Arial" w:eastAsia="Arial" w:cs="Arial"/>
      <w:b/>
      <w:bCs/>
      <w:sz w:val="24"/>
      <w:szCs w:val="24"/>
    </w:rPr>
  </w:style>
  <w:style w:type="character" w:styleId="772" w:customStyle="1">
    <w:name w:val="标题 6 字符"/>
    <w:link w:val="685"/>
    <w:uiPriority w:val="9"/>
    <w:qFormat/>
    <w:rPr>
      <w:rFonts w:ascii="Arial" w:hAnsi="Arial" w:eastAsia="Arial" w:cs="Arial"/>
      <w:b/>
      <w:bCs/>
      <w:sz w:val="22"/>
      <w:szCs w:val="22"/>
    </w:rPr>
  </w:style>
  <w:style w:type="character" w:styleId="773" w:customStyle="1">
    <w:name w:val="标题 7 字符"/>
    <w:link w:val="686"/>
    <w:uiPriority w:val="9"/>
    <w:qFormat/>
    <w:rPr>
      <w:rFonts w:ascii="Arial" w:hAnsi="Arial" w:eastAsia="Arial" w:cs="Arial"/>
      <w:b/>
      <w:bCs/>
      <w:i/>
      <w:iCs/>
      <w:sz w:val="22"/>
      <w:szCs w:val="22"/>
    </w:rPr>
  </w:style>
  <w:style w:type="character" w:styleId="774" w:customStyle="1">
    <w:name w:val="标题 8 字符"/>
    <w:link w:val="687"/>
    <w:uiPriority w:val="9"/>
    <w:qFormat/>
    <w:rPr>
      <w:rFonts w:ascii="Arial" w:hAnsi="Arial" w:eastAsia="Arial" w:cs="Arial"/>
      <w:i/>
      <w:iCs/>
      <w:sz w:val="22"/>
      <w:szCs w:val="22"/>
    </w:rPr>
  </w:style>
  <w:style w:type="character" w:styleId="775" w:customStyle="1">
    <w:name w:val="标题 9 字符"/>
    <w:link w:val="688"/>
    <w:uiPriority w:val="9"/>
    <w:qFormat/>
    <w:rPr>
      <w:rFonts w:ascii="Arial" w:hAnsi="Arial" w:eastAsia="Arial" w:cs="Arial"/>
      <w:i/>
      <w:iCs/>
      <w:sz w:val="21"/>
      <w:szCs w:val="21"/>
    </w:rPr>
  </w:style>
  <w:style w:type="paragraph" w:styleId="776">
    <w:name w:val="List Paragraph"/>
    <w:basedOn w:val="679"/>
    <w:uiPriority w:val="34"/>
    <w:qFormat/>
    <w:pPr>
      <w:contextualSpacing/>
      <w:ind w:left="720"/>
    </w:pPr>
  </w:style>
  <w:style w:type="paragraph" w:styleId="777">
    <w:name w:val="No Spacing"/>
    <w:uiPriority w:val="1"/>
    <w:qFormat/>
    <w:rPr>
      <w:rFonts w:hint="default" w:ascii="Times New Roman" w:hAnsi="Times New Roman" w:eastAsia="宋体" w:cs="Times New Roman"/>
      <w:lang w:val="en-US" w:eastAsia="zh-CN" w:bidi="ar-SA"/>
    </w:rPr>
  </w:style>
  <w:style w:type="character" w:styleId="778" w:customStyle="1">
    <w:name w:val="标题 字符"/>
    <w:link w:val="715"/>
    <w:uiPriority w:val="10"/>
    <w:qFormat/>
    <w:rPr>
      <w:sz w:val="48"/>
      <w:szCs w:val="48"/>
    </w:rPr>
  </w:style>
  <w:style w:type="character" w:styleId="779" w:customStyle="1">
    <w:name w:val="副标题 字符"/>
    <w:link w:val="708"/>
    <w:uiPriority w:val="11"/>
    <w:qFormat/>
    <w:rPr>
      <w:sz w:val="24"/>
      <w:szCs w:val="24"/>
    </w:rPr>
  </w:style>
  <w:style w:type="paragraph" w:styleId="780">
    <w:name w:val="Quote"/>
    <w:basedOn w:val="679"/>
    <w:next w:val="679"/>
    <w:link w:val="781"/>
    <w:uiPriority w:val="29"/>
    <w:qFormat/>
    <w:pPr>
      <w:ind w:left="720" w:right="720"/>
    </w:pPr>
    <w:rPr>
      <w:i/>
    </w:rPr>
  </w:style>
  <w:style w:type="character" w:styleId="781" w:customStyle="1">
    <w:name w:val="引用 字符"/>
    <w:link w:val="780"/>
    <w:uiPriority w:val="29"/>
    <w:qFormat/>
    <w:rPr>
      <w:i/>
    </w:rPr>
  </w:style>
  <w:style w:type="paragraph" w:styleId="782">
    <w:name w:val="Intense Quote"/>
    <w:basedOn w:val="679"/>
    <w:next w:val="679"/>
    <w:link w:val="7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明显引用 字符"/>
    <w:link w:val="782"/>
    <w:uiPriority w:val="30"/>
    <w:qFormat/>
    <w:rPr>
      <w:i/>
    </w:rPr>
  </w:style>
  <w:style w:type="character" w:styleId="784" w:customStyle="1">
    <w:name w:val="页眉 字符"/>
    <w:link w:val="705"/>
    <w:uiPriority w:val="99"/>
    <w:qFormat/>
  </w:style>
  <w:style w:type="character" w:styleId="785" w:customStyle="1">
    <w:name w:val="Footer Char"/>
    <w:uiPriority w:val="99"/>
    <w:qFormat/>
  </w:style>
  <w:style w:type="character" w:styleId="786" w:customStyle="1">
    <w:name w:val="页脚 字符"/>
    <w:link w:val="704"/>
    <w:uiPriority w:val="99"/>
    <w:qFormat/>
  </w:style>
  <w:style w:type="table" w:styleId="78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2" w:customStyle="1">
    <w:name w:val="脚注文本 字符"/>
    <w:link w:val="709"/>
    <w:uiPriority w:val="99"/>
    <w:qFormat/>
    <w:rPr>
      <w:sz w:val="18"/>
    </w:rPr>
  </w:style>
  <w:style w:type="character" w:styleId="913" w:customStyle="1">
    <w:name w:val="尾注文本 字符"/>
    <w:link w:val="703"/>
    <w:uiPriority w:val="99"/>
    <w:qFormat/>
    <w:rPr>
      <w:sz w:val="20"/>
    </w:rPr>
  </w:style>
  <w:style w:type="paragraph" w:styleId="914" w:customStyle="1">
    <w:name w:val="TOC 标题1"/>
    <w:uiPriority w:val="39"/>
    <w:unhideWhenUsed/>
    <w:qFormat/>
    <w:rPr>
      <w:rFonts w:hint="default" w:ascii="Times New Roman" w:hAnsi="Times New Roman" w:eastAsia="宋体" w:cs="Times New Roman"/>
      <w:lang w:val="en-US" w:eastAsia="zh-CN" w:bidi="ar-SA"/>
    </w:rPr>
  </w:style>
  <w:style w:type="paragraph" w:styleId="915" w:customStyle="1">
    <w:name w:val="标题 11"/>
    <w:basedOn w:val="679"/>
    <w:next w:val="679"/>
    <w:uiPriority w:val="9"/>
    <w:qFormat/>
    <w:pPr>
      <w:keepLines/>
      <w:keepNext/>
      <w:spacing w:before="340" w:after="330" w:line="578" w:lineRule="auto"/>
      <w:outlineLvl w:val="0"/>
    </w:pPr>
    <w:rPr>
      <w:b/>
      <w:bCs/>
      <w:sz w:val="44"/>
      <w:szCs w:val="44"/>
    </w:rPr>
  </w:style>
  <w:style w:type="paragraph" w:styleId="916" w:customStyle="1">
    <w:name w:val="标题 21"/>
    <w:basedOn w:val="679"/>
    <w:next w:val="6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7" w:customStyle="1">
    <w:name w:val="标题 31"/>
    <w:basedOn w:val="679"/>
    <w:next w:val="679"/>
    <w:uiPriority w:val="0"/>
    <w:qFormat/>
    <w:pPr>
      <w:keepLines/>
      <w:keepNext/>
      <w:spacing w:before="260" w:after="260" w:line="416" w:lineRule="auto"/>
      <w:outlineLvl w:val="2"/>
    </w:pPr>
    <w:rPr>
      <w:b/>
      <w:bCs/>
      <w:sz w:val="32"/>
      <w:szCs w:val="32"/>
    </w:rPr>
  </w:style>
  <w:style w:type="character" w:styleId="918" w:customStyle="1">
    <w:name w:val="默认段落字体1"/>
    <w:uiPriority w:val="1"/>
    <w:unhideWhenUsed/>
    <w:qFormat/>
  </w:style>
  <w:style w:type="table" w:styleId="919" w:customStyle="1">
    <w:name w:val="普通表格1"/>
    <w:uiPriority w:val="99"/>
    <w:unhideWhenUsed/>
    <w:qFormat/>
    <w:tblPr>
      <w:tblCellMar>
        <w:left w:w="0" w:type="dxa"/>
        <w:top w:w="0" w:type="dxa"/>
        <w:right w:w="0" w:type="dxa"/>
        <w:bottom w:w="0" w:type="dxa"/>
      </w:tblCellMar>
    </w:tblPr>
  </w:style>
  <w:style w:type="paragraph" w:styleId="920" w:customStyle="1">
    <w:name w:val="正文文本缩进1"/>
    <w:basedOn w:val="679"/>
    <w:next w:val="921"/>
    <w:uiPriority w:val="0"/>
    <w:qFormat/>
    <w:pPr>
      <w:ind w:left="420"/>
      <w:spacing w:after="120"/>
    </w:pPr>
    <w:rPr>
      <w:rFonts w:ascii="等线" w:hAnsi="等线" w:eastAsia="等线"/>
    </w:rPr>
  </w:style>
  <w:style w:type="paragraph" w:styleId="921" w:customStyle="1">
    <w:name w:val="寄信人地址1"/>
    <w:basedOn w:val="679"/>
    <w:uiPriority w:val="99"/>
    <w:unhideWhenUsed/>
    <w:qFormat/>
    <w:rPr>
      <w:rFonts w:ascii="Arial" w:hAnsi="Arial"/>
    </w:rPr>
  </w:style>
  <w:style w:type="paragraph" w:styleId="922" w:customStyle="1">
    <w:name w:val="正文缩进1"/>
    <w:basedOn w:val="679"/>
    <w:uiPriority w:val="0"/>
    <w:unhideWhenUsed/>
    <w:qFormat/>
    <w:pPr>
      <w:ind w:firstLine="420"/>
    </w:pPr>
  </w:style>
  <w:style w:type="paragraph" w:styleId="923" w:customStyle="1">
    <w:name w:val="批注文字1"/>
    <w:basedOn w:val="679"/>
    <w:link w:val="924"/>
    <w:uiPriority w:val="0"/>
    <w:qFormat/>
    <w:pPr>
      <w:jc w:val="left"/>
    </w:pPr>
  </w:style>
  <w:style w:type="character" w:styleId="924" w:customStyle="1">
    <w:name w:val="批注文字 Char"/>
    <w:link w:val="923"/>
    <w:uiPriority w:val="0"/>
    <w:qFormat/>
    <w:rPr>
      <w:rFonts w:ascii="Calibri" w:hAnsi="Calibri"/>
      <w:sz w:val="21"/>
      <w:szCs w:val="22"/>
    </w:rPr>
  </w:style>
  <w:style w:type="paragraph" w:styleId="925" w:customStyle="1">
    <w:name w:val="正文文本11"/>
    <w:basedOn w:val="679"/>
    <w:next w:val="926"/>
    <w:uiPriority w:val="0"/>
    <w:qFormat/>
    <w:rPr>
      <w:rFonts w:ascii="楷体_GB2312" w:hAnsi="Arial" w:eastAsia="楷体_GB2312"/>
      <w:sz w:val="28"/>
      <w:szCs w:val="28"/>
    </w:rPr>
  </w:style>
  <w:style w:type="paragraph" w:styleId="926" w:customStyle="1">
    <w:name w:val="标题1"/>
    <w:basedOn w:val="679"/>
    <w:next w:val="679"/>
    <w:uiPriority w:val="0"/>
    <w:qFormat/>
    <w:pPr>
      <w:jc w:val="center"/>
      <w:spacing w:before="240" w:after="60" w:line="360" w:lineRule="auto"/>
      <w:outlineLvl w:val="0"/>
    </w:pPr>
    <w:rPr>
      <w:rFonts w:ascii="宋体" w:hAnsi="宋体"/>
      <w:b/>
      <w:bCs/>
      <w:sz w:val="32"/>
      <w:szCs w:val="32"/>
    </w:rPr>
  </w:style>
  <w:style w:type="paragraph" w:styleId="927" w:customStyle="1">
    <w:name w:val="纯文本1"/>
    <w:basedOn w:val="679"/>
    <w:uiPriority w:val="99"/>
    <w:qFormat/>
    <w:rPr>
      <w:rFonts w:ascii="宋体" w:hAnsi="Courier New"/>
      <w:sz w:val="20"/>
      <w:szCs w:val="21"/>
    </w:rPr>
  </w:style>
  <w:style w:type="paragraph" w:styleId="928" w:customStyle="1">
    <w:name w:val="正文文本缩进 21"/>
    <w:basedOn w:val="679"/>
    <w:uiPriority w:val="0"/>
    <w:qFormat/>
    <w:pPr>
      <w:ind w:left="640"/>
      <w:spacing w:after="120" w:line="480" w:lineRule="auto"/>
    </w:pPr>
    <w:rPr>
      <w:rFonts w:eastAsia="仿宋_GB2312"/>
      <w:sz w:val="32"/>
      <w:szCs w:val="28"/>
    </w:rPr>
  </w:style>
  <w:style w:type="paragraph" w:styleId="929" w:customStyle="1">
    <w:name w:val="批注框文本1"/>
    <w:basedOn w:val="679"/>
    <w:link w:val="930"/>
    <w:uiPriority w:val="0"/>
    <w:qFormat/>
    <w:rPr>
      <w:sz w:val="18"/>
      <w:szCs w:val="18"/>
    </w:rPr>
  </w:style>
  <w:style w:type="character" w:styleId="930" w:customStyle="1">
    <w:name w:val="批注框文本 Char"/>
    <w:link w:val="929"/>
    <w:uiPriority w:val="0"/>
    <w:qFormat/>
    <w:rPr>
      <w:sz w:val="18"/>
      <w:szCs w:val="18"/>
    </w:rPr>
  </w:style>
  <w:style w:type="paragraph" w:styleId="931" w:customStyle="1">
    <w:name w:val="页脚1"/>
    <w:basedOn w:val="679"/>
    <w:uiPriority w:val="99"/>
    <w:unhideWhenUsed/>
    <w:qFormat/>
    <w:pPr>
      <w:jc w:val="left"/>
      <w:tabs>
        <w:tab w:val="center" w:pos="4153" w:leader="none"/>
        <w:tab w:val="right" w:pos="8306" w:leader="none"/>
      </w:tabs>
    </w:pPr>
    <w:rPr>
      <w:sz w:val="18"/>
      <w:szCs w:val="18"/>
    </w:rPr>
  </w:style>
  <w:style w:type="paragraph" w:styleId="932" w:customStyle="1">
    <w:name w:val="页眉1"/>
    <w:basedOn w:val="67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33" w:customStyle="1">
    <w:name w:val="目录 11"/>
    <w:basedOn w:val="679"/>
    <w:next w:val="679"/>
    <w:uiPriority w:val="39"/>
    <w:unhideWhenUsed/>
    <w:qFormat/>
  </w:style>
  <w:style w:type="paragraph" w:styleId="934" w:customStyle="1">
    <w:name w:val="目录 21"/>
    <w:basedOn w:val="679"/>
    <w:next w:val="679"/>
    <w:uiPriority w:val="0"/>
    <w:qFormat/>
    <w:pPr>
      <w:ind w:left="420"/>
    </w:pPr>
  </w:style>
  <w:style w:type="paragraph" w:styleId="935" w:customStyle="1">
    <w:name w:val="正文文本 21"/>
    <w:basedOn w:val="679"/>
    <w:uiPriority w:val="0"/>
    <w:qFormat/>
    <w:pPr>
      <w:spacing w:after="120" w:line="480" w:lineRule="auto"/>
    </w:pPr>
  </w:style>
  <w:style w:type="paragraph" w:styleId="936" w:customStyle="1">
    <w:name w:val="信息标题1"/>
    <w:basedOn w:val="67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37" w:customStyle="1">
    <w:name w:val="普通(网站)1"/>
    <w:basedOn w:val="679"/>
    <w:uiPriority w:val="0"/>
    <w:qFormat/>
    <w:rPr>
      <w:rFonts w:ascii="Times New Roman" w:hAnsi="Times New Roman"/>
      <w:sz w:val="24"/>
    </w:rPr>
  </w:style>
  <w:style w:type="paragraph" w:styleId="938" w:customStyle="1">
    <w:name w:val="批注主题1"/>
    <w:basedOn w:val="923"/>
    <w:next w:val="923"/>
    <w:link w:val="939"/>
    <w:uiPriority w:val="0"/>
    <w:qFormat/>
    <w:rPr>
      <w:b/>
      <w:bCs/>
    </w:rPr>
  </w:style>
  <w:style w:type="character" w:styleId="939" w:customStyle="1">
    <w:name w:val="批注主题 Char"/>
    <w:link w:val="938"/>
    <w:uiPriority w:val="0"/>
    <w:qFormat/>
    <w:rPr>
      <w:rFonts w:ascii="Calibri" w:hAnsi="Calibri"/>
      <w:b/>
      <w:bCs/>
      <w:sz w:val="21"/>
      <w:szCs w:val="22"/>
    </w:rPr>
  </w:style>
  <w:style w:type="paragraph" w:styleId="940" w:customStyle="1">
    <w:name w:val="正文首行缩进 21"/>
    <w:basedOn w:val="920"/>
    <w:next w:val="679"/>
    <w:uiPriority w:val="0"/>
    <w:qFormat/>
    <w:pPr>
      <w:ind w:firstLine="420"/>
      <w:spacing w:before="100" w:beforeAutospacing="1"/>
    </w:pPr>
    <w:rPr>
      <w:rFonts w:ascii="Times New Roman" w:hAnsi="Times New Roman" w:eastAsia="宋体"/>
      <w:sz w:val="20"/>
      <w:szCs w:val="21"/>
    </w:rPr>
  </w:style>
  <w:style w:type="table" w:styleId="941" w:customStyle="1">
    <w:name w:val="网格型1"/>
    <w:basedOn w:val="919"/>
    <w:uiPriority w:val="0"/>
    <w:qFormat/>
    <w:pPr>
      <w:jc w:val="both"/>
      <w:widowControl w:val="off"/>
    </w:pPr>
    <w:tblPr/>
  </w:style>
  <w:style w:type="character" w:styleId="942" w:customStyle="1">
    <w:name w:val="要点1"/>
    <w:uiPriority w:val="0"/>
    <w:qFormat/>
    <w:rPr>
      <w:b/>
    </w:rPr>
  </w:style>
  <w:style w:type="character" w:styleId="943" w:customStyle="1">
    <w:name w:val="强调1"/>
    <w:uiPriority w:val="0"/>
    <w:qFormat/>
    <w:rPr>
      <w:i/>
    </w:rPr>
  </w:style>
  <w:style w:type="character" w:styleId="944" w:customStyle="1">
    <w:name w:val="超链接1"/>
    <w:uiPriority w:val="0"/>
    <w:qFormat/>
    <w:rPr>
      <w:color w:val="0000ff"/>
      <w:u w:val="single"/>
    </w:rPr>
  </w:style>
  <w:style w:type="character" w:styleId="945" w:customStyle="1">
    <w:name w:val="批注引用1"/>
    <w:uiPriority w:val="0"/>
    <w:qFormat/>
    <w:rPr>
      <w:sz w:val="21"/>
      <w:szCs w:val="21"/>
    </w:rPr>
  </w:style>
  <w:style w:type="paragraph" w:styleId="946" w:customStyle="1">
    <w:name w:val="正文（缩进）"/>
    <w:basedOn w:val="679"/>
    <w:uiPriority w:val="0"/>
    <w:qFormat/>
    <w:pPr>
      <w:ind w:firstLine="480"/>
      <w:spacing w:before="156" w:after="156"/>
    </w:pPr>
  </w:style>
  <w:style w:type="paragraph" w:styleId="947" w:customStyle="1">
    <w:name w:val="普通正文"/>
    <w:basedOn w:val="679"/>
    <w:uiPriority w:val="0"/>
    <w:qFormat/>
    <w:pPr>
      <w:ind w:firstLine="480"/>
      <w:jc w:val="left"/>
      <w:spacing w:before="120" w:after="120" w:line="360" w:lineRule="auto"/>
    </w:pPr>
    <w:rPr>
      <w:rFonts w:ascii="Arial" w:hAnsi="Arial"/>
      <w:sz w:val="24"/>
      <w:szCs w:val="24"/>
    </w:rPr>
  </w:style>
  <w:style w:type="paragraph" w:styleId="948" w:customStyle="1">
    <w:name w:val="Char"/>
    <w:basedOn w:val="679"/>
    <w:uiPriority w:val="0"/>
    <w:qFormat/>
    <w:pPr>
      <w:ind w:firstLine="200"/>
      <w:tabs>
        <w:tab w:val="left" w:pos="360" w:leader="none"/>
      </w:tabs>
    </w:pPr>
    <w:rPr>
      <w:rFonts w:ascii="Times New Roman" w:hAnsi="Times New Roman"/>
      <w:sz w:val="28"/>
      <w:szCs w:val="30"/>
    </w:rPr>
  </w:style>
  <w:style w:type="paragraph" w:styleId="949" w:customStyle="1">
    <w:name w:val="Table Paragraph"/>
    <w:basedOn w:val="679"/>
    <w:uiPriority w:val="1"/>
    <w:qFormat/>
    <w:rPr>
      <w:rFonts w:ascii="Noto Sans CJK JP Regular" w:hAnsi="Noto Sans CJK JP Regular" w:eastAsia="Noto Sans CJK JP Regular" w:cs="Noto Sans CJK JP Regular"/>
    </w:rPr>
  </w:style>
  <w:style w:type="paragraph" w:styleId="950" w:customStyle="1">
    <w:name w:val="正文（1）"/>
    <w:basedOn w:val="679"/>
    <w:uiPriority w:val="0"/>
    <w:qFormat/>
    <w:pPr>
      <w:numPr>
        <w:ilvl w:val="0"/>
        <w:numId w:val="3"/>
      </w:numPr>
      <w:ind w:firstLine="200"/>
    </w:pPr>
    <w:rPr>
      <w:szCs w:val="24"/>
    </w:rPr>
  </w:style>
  <w:style w:type="paragraph" w:styleId="951" w:customStyle="1">
    <w:name w:val="朱-正文"/>
    <w:basedOn w:val="679"/>
    <w:uiPriority w:val="0"/>
    <w:qFormat/>
    <w:pPr>
      <w:ind w:firstLine="200"/>
    </w:pPr>
    <w:rPr>
      <w:rFonts w:ascii="Times New Roman"/>
      <w:color w:val="000000"/>
      <w:szCs w:val="24"/>
      <w:lang w:val="en-GB"/>
    </w:rPr>
  </w:style>
  <w:style w:type="paragraph" w:styleId="952" w:customStyle="1">
    <w:name w:val="GP正文(首行缩进)"/>
    <w:basedOn w:val="679"/>
    <w:uiPriority w:val="0"/>
    <w:qFormat/>
    <w:pPr>
      <w:ind w:firstLine="480"/>
      <w:jc w:val="left"/>
    </w:pPr>
    <w:rPr>
      <w:rFonts w:ascii="Times New Roman" w:hAnsi="宋体"/>
      <w:sz w:val="24"/>
      <w:szCs w:val="24"/>
    </w:rPr>
  </w:style>
  <w:style w:type="character" w:styleId="953" w:customStyle="1">
    <w:name w:val="font71"/>
    <w:uiPriority w:val="0"/>
    <w:qFormat/>
    <w:rPr>
      <w:rFonts w:hint="eastAsia" w:ascii="宋体" w:hAnsi="宋体" w:eastAsia="宋体" w:cs="宋体"/>
      <w:color w:val="ff0000"/>
      <w:sz w:val="21"/>
      <w:szCs w:val="21"/>
      <w:u w:val="none"/>
    </w:rPr>
  </w:style>
  <w:style w:type="character" w:styleId="954" w:customStyle="1">
    <w:name w:val="font41"/>
    <w:uiPriority w:val="0"/>
    <w:qFormat/>
    <w:rPr>
      <w:rFonts w:hint="eastAsia" w:ascii="宋体" w:hAnsi="宋体" w:eastAsia="宋体" w:cs="宋体"/>
      <w:color w:val="000000"/>
      <w:sz w:val="21"/>
      <w:szCs w:val="21"/>
      <w:u w:val="none"/>
    </w:rPr>
  </w:style>
  <w:style w:type="paragraph" w:styleId="955" w:customStyle="1">
    <w:name w:val="列出段落"/>
    <w:basedOn w:val="679"/>
    <w:uiPriority w:val="0"/>
    <w:qFormat/>
    <w:pPr>
      <w:ind w:firstLine="420"/>
    </w:pPr>
  </w:style>
  <w:style w:type="paragraph" w:styleId="956" w:customStyle="1">
    <w:name w:val="列出段落2"/>
    <w:basedOn w:val="679"/>
    <w:uiPriority w:val="34"/>
    <w:qFormat/>
    <w:pPr>
      <w:ind w:firstLine="420"/>
    </w:pPr>
    <w:rPr>
      <w:rFonts w:ascii="宋体"/>
      <w:color w:val="404040"/>
    </w:rPr>
  </w:style>
  <w:style w:type="paragraph" w:styleId="957" w:customStyle="1">
    <w:name w:val="列表段落1"/>
    <w:basedOn w:val="679"/>
    <w:uiPriority w:val="0"/>
    <w:qFormat/>
    <w:pPr>
      <w:ind w:firstLine="200"/>
    </w:pPr>
    <w:rPr>
      <w:rFonts w:cs="宋体"/>
    </w:rPr>
  </w:style>
  <w:style w:type="character" w:styleId="958" w:customStyle="1">
    <w:name w:val="font51"/>
    <w:uiPriority w:val="0"/>
    <w:qFormat/>
    <w:rPr>
      <w:rFonts w:hint="eastAsia" w:ascii="宋体" w:hAnsi="宋体" w:eastAsia="宋体" w:cs="宋体"/>
      <w:color w:val="000000"/>
      <w:sz w:val="24"/>
      <w:szCs w:val="24"/>
      <w:u w:val="none"/>
      <w:vertAlign w:val="subscript"/>
    </w:rPr>
  </w:style>
  <w:style w:type="character" w:styleId="959" w:customStyle="1">
    <w:name w:val="font61"/>
    <w:uiPriority w:val="0"/>
    <w:qFormat/>
    <w:rPr>
      <w:rFonts w:hint="eastAsia" w:ascii="宋体" w:hAnsi="宋体" w:eastAsia="宋体" w:cs="宋体"/>
      <w:color w:val="000000"/>
      <w:sz w:val="24"/>
      <w:szCs w:val="24"/>
      <w:u w:val="none"/>
    </w:rPr>
  </w:style>
  <w:style w:type="character" w:styleId="960" w:customStyle="1">
    <w:name w:val="font01"/>
    <w:uiPriority w:val="0"/>
    <w:qFormat/>
    <w:rPr>
      <w:rFonts w:hint="eastAsia" w:ascii="宋体" w:hAnsi="宋体" w:eastAsia="宋体" w:cs="宋体"/>
      <w:color w:val="000000"/>
      <w:sz w:val="24"/>
      <w:szCs w:val="24"/>
      <w:u w:val="none"/>
    </w:rPr>
  </w:style>
  <w:style w:type="character" w:styleId="961" w:customStyle="1">
    <w:name w:val="font81"/>
    <w:uiPriority w:val="0"/>
    <w:qFormat/>
    <w:rPr>
      <w:rFonts w:ascii="微软雅黑" w:hAnsi="微软雅黑" w:eastAsia="微软雅黑" w:cs="微软雅黑"/>
      <w:color w:val="000000"/>
      <w:sz w:val="24"/>
      <w:szCs w:val="24"/>
      <w:u w:val="none"/>
    </w:rPr>
  </w:style>
  <w:style w:type="character" w:styleId="962" w:customStyle="1">
    <w:name w:val="font91"/>
    <w:uiPriority w:val="0"/>
    <w:qFormat/>
    <w:rPr>
      <w:rFonts w:ascii="Segoe UI Symbol" w:hAnsi="Segoe UI Symbol" w:eastAsia="Segoe UI Symbol" w:cs="Segoe UI Symbol"/>
      <w:color w:val="000000"/>
      <w:sz w:val="24"/>
      <w:szCs w:val="24"/>
      <w:u w:val="none"/>
    </w:rPr>
  </w:style>
  <w:style w:type="character" w:styleId="963" w:customStyle="1">
    <w:name w:val="font101"/>
    <w:uiPriority w:val="0"/>
    <w:qFormat/>
    <w:rPr>
      <w:rFonts w:ascii="Calibri" w:hAnsi="Calibri" w:cs="Calibri"/>
      <w:color w:val="000000"/>
      <w:sz w:val="24"/>
      <w:szCs w:val="24"/>
      <w:u w:val="none"/>
    </w:rPr>
  </w:style>
  <w:style w:type="paragraph" w:styleId="964" w:customStyle="1">
    <w:name w:val="TableItem"/>
    <w:uiPriority w:val="0"/>
    <w:qFormat/>
    <w:rPr>
      <w:rFonts w:hint="default" w:ascii="Verdana" w:hAnsi="Verdana" w:eastAsia="宋体" w:cs="Verdana"/>
      <w:b/>
      <w:bCs/>
      <w:color w:val="538135"/>
      <w:spacing w:val="-10"/>
      <w:sz w:val="16"/>
      <w:szCs w:val="28"/>
      <w:lang w:val="en-US" w:eastAsia="zh-CN" w:bidi="ar-SA"/>
    </w:rPr>
  </w:style>
  <w:style w:type="paragraph" w:styleId="965" w:customStyle="1">
    <w:name w:val="TableEmphasis"/>
    <w:basedOn w:val="679"/>
    <w:uiPriority w:val="0"/>
    <w:qFormat/>
    <w:rPr>
      <w:rFonts w:ascii="Times New Roman" w:hAnsi="Times New Roman" w:eastAsia="Times New Roman"/>
      <w:b/>
      <w:bCs/>
      <w:color w:val="3333ff"/>
      <w:sz w:val="16"/>
      <w:szCs w:val="18"/>
    </w:rPr>
  </w:style>
  <w:style w:type="paragraph" w:styleId="966" w:customStyle="1">
    <w:name w:val="修订1"/>
    <w:uiPriority w:val="99"/>
    <w:unhideWhenUsed/>
    <w:qFormat/>
    <w:rPr>
      <w:rFonts w:hint="default" w:ascii="Calibri" w:hAnsi="Calibri" w:eastAsia="宋体" w:cs="Times New Roman"/>
      <w:sz w:val="21"/>
      <w:szCs w:val="22"/>
      <w:lang w:val="en-US" w:eastAsia="zh-CN" w:bidi="ar-SA"/>
    </w:rPr>
  </w:style>
  <w:style w:type="paragraph" w:styleId="967" w:customStyle="1">
    <w:name w:val="修订2"/>
    <w:uiPriority w:val="99"/>
    <w:semiHidden/>
    <w:qFormat/>
    <w:rPr>
      <w:rFonts w:hint="default" w:ascii="Calibri" w:hAnsi="Calibri" w:eastAsia="宋体" w:cs="Times New Roman"/>
      <w:sz w:val="21"/>
      <w:szCs w:val="22"/>
      <w:lang w:val="en-US" w:eastAsia="zh-CN" w:bidi="ar-SA"/>
    </w:rPr>
  </w:style>
  <w:style w:type="character" w:styleId="968" w:customStyle="1">
    <w:name w:val="font11"/>
    <w:uiPriority w:val="0"/>
    <w:qFormat/>
    <w:rPr>
      <w:rFonts w:hint="eastAsia" w:ascii="宋体" w:hAnsi="宋体" w:eastAsia="宋体" w:cs="宋体"/>
      <w:color w:val="000000"/>
      <w:sz w:val="24"/>
      <w:szCs w:val="24"/>
      <w:u w:val="none"/>
    </w:rPr>
  </w:style>
  <w:style w:type="character" w:styleId="969" w:customStyle="1">
    <w:name w:val="font21"/>
    <w:basedOn w:val="689"/>
    <w:uiPriority w:val="0"/>
    <w:qFormat/>
    <w:rPr>
      <w:rFonts w:ascii="Segoe UI Symbol" w:hAnsi="Segoe UI Symbol" w:eastAsia="Segoe UI Symbol" w:cs="Segoe UI Symbol"/>
      <w:color w:val="000000"/>
      <w:sz w:val="24"/>
      <w:szCs w:val="24"/>
      <w:u w:val="none"/>
    </w:rPr>
  </w:style>
  <w:style w:type="character" w:styleId="970" w:customStyle="1">
    <w:name w:val="NormalCharacter1"/>
    <w:uiPriority w:val="0"/>
    <w:semiHidden/>
    <w:qFormat/>
  </w:style>
  <w:style w:type="character" w:styleId="971" w:customStyle="1">
    <w:name w:val="font31"/>
    <w:uiPriority w:val="0"/>
    <w:qFormat/>
    <w:rPr>
      <w:rFonts w:hint="eastAsia" w:ascii="宋体" w:hAnsi="宋体" w:eastAsia="宋体" w:cs="宋体"/>
      <w:color w:val="000000"/>
      <w:sz w:val="21"/>
      <w:szCs w:val="21"/>
      <w:u w:val="none"/>
    </w:rPr>
  </w:style>
  <w:style w:type="paragraph" w:styleId="972" w:customStyle="1">
    <w:name w:val="无间隔1"/>
    <w:uiPriority w:val="1"/>
    <w:qFormat/>
    <w:rPr>
      <w:rFonts w:hint="default" w:ascii="Times New Roman" w:hAnsi="Times New Roman" w:eastAsia="宋体" w:cs="Times New Roman"/>
      <w:lang w:val="en-US" w:eastAsia="zh-CN" w:bidi="ar-SA"/>
    </w:rPr>
  </w:style>
  <w:style w:type="paragraph" w:styleId="973" w:customStyle="1">
    <w:name w:val="索引 41"/>
    <w:basedOn w:val="679"/>
    <w:next w:val="679"/>
    <w:uiPriority w:val="99"/>
    <w:unhideWhenUsed/>
    <w:qFormat/>
    <w:pPr>
      <w:ind w:left="600"/>
    </w:pPr>
    <w:rPr>
      <w:rFonts w:ascii="Verdana" w:hAnsi="Verdana" w:eastAsia="微软雅黑"/>
      <w:szCs w:val="20"/>
    </w:rPr>
  </w:style>
  <w:style w:type="paragraph" w:styleId="974" w:customStyle="1">
    <w:name w:val="图例"/>
    <w:basedOn w:val="679"/>
    <w:uiPriority w:val="0"/>
    <w:qFormat/>
    <w:pPr>
      <w:jc w:val="center"/>
      <w:spacing w:before="120" w:after="120" w:line="360" w:lineRule="auto"/>
    </w:pPr>
    <w:rPr>
      <w:rFonts w:ascii="Times New Roman" w:hAnsi="Times New Roman" w:eastAsia="仿宋_GB2312"/>
      <w:b/>
      <w:sz w:val="24"/>
    </w:rPr>
  </w:style>
  <w:style w:type="character" w:styleId="975" w:customStyle="1">
    <w:name w:val="批注文字 字符"/>
    <w:basedOn w:val="689"/>
    <w:link w:val="696"/>
    <w:uiPriority w:val="99"/>
    <w:semiHidden/>
    <w:qFormat/>
    <w:rPr>
      <w:rFonts w:ascii="Calibri" w:hAnsi="Calibri"/>
      <w:sz w:val="21"/>
      <w:szCs w:val="22"/>
    </w:rPr>
  </w:style>
  <w:style w:type="character" w:styleId="976" w:customStyle="1">
    <w:name w:val="批注主题 字符"/>
    <w:basedOn w:val="975"/>
    <w:link w:val="716"/>
    <w:uiPriority w:val="99"/>
    <w:semiHidden/>
    <w:qFormat/>
    <w:rPr>
      <w:rFonts w:ascii="Calibri" w:hAnsi="Calibri"/>
      <w:b/>
      <w:bCs/>
      <w:sz w:val="21"/>
      <w:szCs w:val="22"/>
    </w:rPr>
  </w:style>
  <w:style w:type="numbering" w:styleId="215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孙玉君</cp:lastModifiedBy>
  <cp:revision>9</cp:revision>
  <dcterms:created xsi:type="dcterms:W3CDTF">2025-11-06T04:13:00Z</dcterms:created>
  <dcterms:modified xsi:type="dcterms:W3CDTF">2025-12-10T09:17:43Z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B14FFB47D4224B5BA7CBA462F11FA2D2_13</vt:lpwstr>
  </property>
  <property fmtid="{D5CDD505-2E9C-101B-9397-08002B2CF9AE}" pid="4" name="KSOTemplateDocerSaveRecord">
    <vt:lpwstr>eyJoZGlkIjoiMmU0ZDNiZGQ3MGE0MGI4YjY5ZGRmN2U5ZDI5YWYzMTEiLCJ1c2VySWQiOiI0NjY3MzgyMDAifQ==</vt:lpwstr>
  </property>
</Properties>
</file>